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17" w:rsidRDefault="00FC3B64" w:rsidP="00C847CB">
      <w:pPr>
        <w:spacing w:before="60" w:after="60" w:line="240" w:lineRule="auto"/>
        <w:jc w:val="center"/>
        <w:rPr>
          <w:b/>
          <w:sz w:val="20"/>
          <w:szCs w:val="20"/>
        </w:rPr>
      </w:pPr>
      <w:r w:rsidRPr="00780D64">
        <w:rPr>
          <w:b/>
          <w:sz w:val="20"/>
          <w:szCs w:val="20"/>
        </w:rPr>
        <w:t xml:space="preserve">XÁC </w:t>
      </w:r>
      <w:r w:rsidR="00C43B98" w:rsidRPr="00780D64">
        <w:rPr>
          <w:b/>
          <w:sz w:val="20"/>
          <w:szCs w:val="20"/>
        </w:rPr>
        <w:t>ĐỊ</w:t>
      </w:r>
      <w:r w:rsidRPr="00780D64">
        <w:rPr>
          <w:b/>
          <w:sz w:val="20"/>
          <w:szCs w:val="20"/>
        </w:rPr>
        <w:t xml:space="preserve">NH </w:t>
      </w:r>
      <w:r w:rsidR="00C43B98" w:rsidRPr="00780D64">
        <w:rPr>
          <w:b/>
          <w:sz w:val="20"/>
          <w:szCs w:val="20"/>
        </w:rPr>
        <w:t>SELENIUM TRONG MẪU ĐỊA CHẤT</w:t>
      </w:r>
      <w:r w:rsidR="00EC7E29" w:rsidRPr="00780D64">
        <w:rPr>
          <w:b/>
          <w:sz w:val="20"/>
          <w:szCs w:val="20"/>
        </w:rPr>
        <w:t xml:space="preserve"> </w:t>
      </w:r>
      <w:r w:rsidR="00C43B98" w:rsidRPr="00780D64">
        <w:rPr>
          <w:b/>
          <w:sz w:val="20"/>
          <w:szCs w:val="20"/>
        </w:rPr>
        <w:t>BẰNG</w:t>
      </w:r>
      <w:r w:rsidR="00513490">
        <w:rPr>
          <w:b/>
          <w:sz w:val="20"/>
          <w:szCs w:val="20"/>
        </w:rPr>
        <w:br/>
      </w:r>
      <w:r w:rsidR="00C43B98" w:rsidRPr="00780D64">
        <w:rPr>
          <w:b/>
          <w:sz w:val="20"/>
          <w:szCs w:val="20"/>
        </w:rPr>
        <w:t xml:space="preserve"> </w:t>
      </w:r>
      <w:r w:rsidR="00EC7E29" w:rsidRPr="00780D64">
        <w:rPr>
          <w:b/>
          <w:sz w:val="20"/>
          <w:szCs w:val="20"/>
        </w:rPr>
        <w:t xml:space="preserve">PHƯƠNG PHÁP TRÙNG PHÙNG </w:t>
      </w:r>
      <w:r w:rsidR="00C43B98" w:rsidRPr="00780D64">
        <w:rPr>
          <w:b/>
          <w:sz w:val="20"/>
          <w:szCs w:val="20"/>
        </w:rPr>
        <w:t>GAMMA-GAMMA</w:t>
      </w:r>
    </w:p>
    <w:p w:rsidR="00C847CB" w:rsidRPr="00780D64" w:rsidRDefault="00C847CB" w:rsidP="00C847CB">
      <w:pPr>
        <w:spacing w:before="60" w:after="60" w:line="240" w:lineRule="auto"/>
        <w:jc w:val="center"/>
        <w:rPr>
          <w:b/>
          <w:sz w:val="20"/>
          <w:szCs w:val="20"/>
        </w:rPr>
      </w:pPr>
    </w:p>
    <w:p w:rsidR="00F91192" w:rsidRDefault="00F91192" w:rsidP="00C847CB">
      <w:pPr>
        <w:spacing w:before="60" w:after="60" w:line="240" w:lineRule="auto"/>
        <w:jc w:val="center"/>
        <w:rPr>
          <w:sz w:val="20"/>
          <w:szCs w:val="20"/>
          <w:vertAlign w:val="superscript"/>
        </w:rPr>
      </w:pPr>
      <w:r w:rsidRPr="00780D64">
        <w:rPr>
          <w:sz w:val="20"/>
          <w:szCs w:val="20"/>
        </w:rPr>
        <w:t>T</w:t>
      </w:r>
      <w:r w:rsidR="005613F5" w:rsidRPr="00780D64">
        <w:rPr>
          <w:sz w:val="20"/>
          <w:szCs w:val="20"/>
        </w:rPr>
        <w:t>rương Văn</w:t>
      </w:r>
      <w:r w:rsidRPr="00780D64">
        <w:rPr>
          <w:sz w:val="20"/>
          <w:szCs w:val="20"/>
        </w:rPr>
        <w:t xml:space="preserve"> Minh</w:t>
      </w:r>
      <w:r w:rsidR="00D96CB2" w:rsidRPr="00780D64">
        <w:rPr>
          <w:sz w:val="20"/>
          <w:szCs w:val="20"/>
          <w:vertAlign w:val="superscript"/>
        </w:rPr>
        <w:t>1</w:t>
      </w:r>
      <w:r w:rsidRPr="00780D64">
        <w:rPr>
          <w:sz w:val="20"/>
          <w:szCs w:val="20"/>
        </w:rPr>
        <w:t xml:space="preserve">, </w:t>
      </w:r>
      <w:r w:rsidR="00D63203" w:rsidRPr="00780D64">
        <w:rPr>
          <w:sz w:val="20"/>
          <w:szCs w:val="20"/>
        </w:rPr>
        <w:t>Phạm Đình Khang</w:t>
      </w:r>
      <w:r w:rsidR="00D96CB2" w:rsidRPr="00780D64">
        <w:rPr>
          <w:sz w:val="20"/>
          <w:szCs w:val="20"/>
          <w:vertAlign w:val="superscript"/>
        </w:rPr>
        <w:t>2</w:t>
      </w:r>
      <w:r w:rsidR="00D63203" w:rsidRPr="00780D64">
        <w:rPr>
          <w:sz w:val="20"/>
          <w:szCs w:val="20"/>
        </w:rPr>
        <w:t xml:space="preserve">, </w:t>
      </w:r>
      <w:r w:rsidRPr="00780D64">
        <w:rPr>
          <w:sz w:val="20"/>
          <w:szCs w:val="20"/>
        </w:rPr>
        <w:t>N</w:t>
      </w:r>
      <w:r w:rsidR="005613F5" w:rsidRPr="00780D64">
        <w:rPr>
          <w:sz w:val="20"/>
          <w:szCs w:val="20"/>
        </w:rPr>
        <w:t>guyễn</w:t>
      </w:r>
      <w:r w:rsidRPr="00780D64">
        <w:rPr>
          <w:sz w:val="20"/>
          <w:szCs w:val="20"/>
        </w:rPr>
        <w:t xml:space="preserve"> X</w:t>
      </w:r>
      <w:r w:rsidR="005613F5" w:rsidRPr="00780D64">
        <w:rPr>
          <w:sz w:val="20"/>
          <w:szCs w:val="20"/>
        </w:rPr>
        <w:t>uân Hải</w:t>
      </w:r>
      <w:r w:rsidR="00682108" w:rsidRPr="00780D64">
        <w:rPr>
          <w:sz w:val="20"/>
          <w:szCs w:val="20"/>
          <w:vertAlign w:val="superscript"/>
        </w:rPr>
        <w:t>2</w:t>
      </w:r>
      <w:r w:rsidRPr="00780D64">
        <w:rPr>
          <w:sz w:val="20"/>
          <w:szCs w:val="20"/>
        </w:rPr>
        <w:t>,</w:t>
      </w:r>
      <w:r w:rsidR="00916727" w:rsidRPr="00780D64">
        <w:rPr>
          <w:sz w:val="20"/>
          <w:szCs w:val="20"/>
        </w:rPr>
        <w:t xml:space="preserve"> </w:t>
      </w:r>
      <w:r w:rsidR="003E019C">
        <w:rPr>
          <w:sz w:val="20"/>
          <w:szCs w:val="20"/>
        </w:rPr>
        <w:br/>
      </w:r>
      <w:r w:rsidRPr="00780D64">
        <w:rPr>
          <w:sz w:val="20"/>
          <w:szCs w:val="20"/>
        </w:rPr>
        <w:t>H</w:t>
      </w:r>
      <w:r w:rsidR="005613F5" w:rsidRPr="00780D64">
        <w:rPr>
          <w:sz w:val="20"/>
          <w:szCs w:val="20"/>
        </w:rPr>
        <w:t xml:space="preserve">ồ </w:t>
      </w:r>
      <w:r w:rsidRPr="00780D64">
        <w:rPr>
          <w:sz w:val="20"/>
          <w:szCs w:val="20"/>
        </w:rPr>
        <w:t>H</w:t>
      </w:r>
      <w:r w:rsidR="005613F5" w:rsidRPr="00780D64">
        <w:rPr>
          <w:sz w:val="20"/>
          <w:szCs w:val="20"/>
        </w:rPr>
        <w:t>ữu Thắn</w:t>
      </w:r>
      <w:r w:rsidRPr="00780D64">
        <w:rPr>
          <w:sz w:val="20"/>
          <w:szCs w:val="20"/>
        </w:rPr>
        <w:t>g</w:t>
      </w:r>
      <w:r w:rsidR="00682108" w:rsidRPr="00780D64">
        <w:rPr>
          <w:sz w:val="20"/>
          <w:szCs w:val="20"/>
          <w:vertAlign w:val="superscript"/>
        </w:rPr>
        <w:t>2</w:t>
      </w:r>
      <w:r w:rsidR="001763E1" w:rsidRPr="00780D64">
        <w:rPr>
          <w:sz w:val="20"/>
          <w:szCs w:val="20"/>
        </w:rPr>
        <w:t>,</w:t>
      </w:r>
      <w:r w:rsidR="00AE4A62">
        <w:rPr>
          <w:sz w:val="20"/>
          <w:szCs w:val="20"/>
        </w:rPr>
        <w:t xml:space="preserve"> </w:t>
      </w:r>
      <w:r w:rsidR="001763E1" w:rsidRPr="00780D64">
        <w:rPr>
          <w:sz w:val="20"/>
          <w:szCs w:val="20"/>
        </w:rPr>
        <w:t>N</w:t>
      </w:r>
      <w:r w:rsidR="005613F5" w:rsidRPr="00780D64">
        <w:rPr>
          <w:sz w:val="20"/>
          <w:szCs w:val="20"/>
        </w:rPr>
        <w:t xml:space="preserve">guyễn </w:t>
      </w:r>
      <w:r w:rsidR="001763E1" w:rsidRPr="00780D64">
        <w:rPr>
          <w:sz w:val="20"/>
          <w:szCs w:val="20"/>
        </w:rPr>
        <w:t>N</w:t>
      </w:r>
      <w:r w:rsidR="005613F5" w:rsidRPr="00780D64">
        <w:rPr>
          <w:sz w:val="20"/>
          <w:szCs w:val="20"/>
        </w:rPr>
        <w:t xml:space="preserve">gọc </w:t>
      </w:r>
      <w:r w:rsidR="001763E1" w:rsidRPr="00780D64">
        <w:rPr>
          <w:sz w:val="20"/>
          <w:szCs w:val="20"/>
        </w:rPr>
        <w:t>A</w:t>
      </w:r>
      <w:r w:rsidR="005613F5" w:rsidRPr="00780D64">
        <w:rPr>
          <w:sz w:val="20"/>
          <w:szCs w:val="20"/>
        </w:rPr>
        <w:t>nh</w:t>
      </w:r>
      <w:r w:rsidR="00682108" w:rsidRPr="00780D64">
        <w:rPr>
          <w:sz w:val="20"/>
          <w:szCs w:val="20"/>
          <w:vertAlign w:val="superscript"/>
        </w:rPr>
        <w:t>2</w:t>
      </w:r>
      <w:r w:rsidR="00163E9F" w:rsidRPr="00780D64">
        <w:rPr>
          <w:sz w:val="20"/>
          <w:szCs w:val="20"/>
        </w:rPr>
        <w:t>, Nguyễn Giằng</w:t>
      </w:r>
      <w:r w:rsidR="00682108" w:rsidRPr="00780D64">
        <w:rPr>
          <w:sz w:val="20"/>
          <w:szCs w:val="20"/>
          <w:vertAlign w:val="superscript"/>
        </w:rPr>
        <w:t>2</w:t>
      </w:r>
    </w:p>
    <w:p w:rsidR="00C847CB" w:rsidRPr="00780D64" w:rsidRDefault="00C847CB" w:rsidP="00C847CB">
      <w:pPr>
        <w:spacing w:before="60" w:after="60" w:line="240" w:lineRule="auto"/>
        <w:jc w:val="center"/>
        <w:rPr>
          <w:sz w:val="20"/>
          <w:szCs w:val="20"/>
        </w:rPr>
      </w:pPr>
    </w:p>
    <w:p w:rsidR="00D96CB2" w:rsidRPr="00780D64" w:rsidRDefault="00D96CB2" w:rsidP="00C847CB">
      <w:pPr>
        <w:spacing w:before="60" w:after="60" w:line="240" w:lineRule="auto"/>
        <w:jc w:val="center"/>
        <w:rPr>
          <w:sz w:val="20"/>
          <w:szCs w:val="20"/>
        </w:rPr>
      </w:pPr>
      <w:proofErr w:type="gramStart"/>
      <w:r w:rsidRPr="00780D64">
        <w:rPr>
          <w:sz w:val="20"/>
          <w:szCs w:val="20"/>
          <w:vertAlign w:val="superscript"/>
        </w:rPr>
        <w:t>1)</w:t>
      </w:r>
      <w:r w:rsidRPr="00780D64">
        <w:rPr>
          <w:sz w:val="20"/>
          <w:szCs w:val="20"/>
        </w:rPr>
        <w:t>Trường</w:t>
      </w:r>
      <w:proofErr w:type="gramEnd"/>
      <w:r w:rsidRPr="00780D64">
        <w:rPr>
          <w:sz w:val="20"/>
          <w:szCs w:val="20"/>
        </w:rPr>
        <w:t xml:space="preserve"> Đại Học Đồng Nai, 04 Lê Quý Đôn, Biên Hòa, Đồng Nai</w:t>
      </w:r>
    </w:p>
    <w:p w:rsidR="00C77125" w:rsidRDefault="00682108" w:rsidP="00C847CB">
      <w:pPr>
        <w:spacing w:before="60" w:after="60" w:line="240" w:lineRule="auto"/>
        <w:jc w:val="center"/>
        <w:rPr>
          <w:sz w:val="20"/>
          <w:szCs w:val="20"/>
        </w:rPr>
      </w:pPr>
      <w:proofErr w:type="gramStart"/>
      <w:r w:rsidRPr="00780D64">
        <w:rPr>
          <w:sz w:val="20"/>
          <w:szCs w:val="20"/>
          <w:vertAlign w:val="superscript"/>
        </w:rPr>
        <w:t>2</w:t>
      </w:r>
      <w:r w:rsidR="00D7397D" w:rsidRPr="00780D64">
        <w:rPr>
          <w:sz w:val="20"/>
          <w:szCs w:val="20"/>
          <w:vertAlign w:val="superscript"/>
        </w:rPr>
        <w:t>)</w:t>
      </w:r>
      <w:r w:rsidR="002E3D70" w:rsidRPr="00780D64">
        <w:rPr>
          <w:sz w:val="20"/>
          <w:szCs w:val="20"/>
        </w:rPr>
        <w:t>Viện</w:t>
      </w:r>
      <w:proofErr w:type="gramEnd"/>
      <w:r w:rsidR="002E3D70" w:rsidRPr="00780D64">
        <w:rPr>
          <w:sz w:val="20"/>
          <w:szCs w:val="20"/>
        </w:rPr>
        <w:t xml:space="preserve"> Nghiên Cứu Hạt Nhân, 01 Nguyê</w:t>
      </w:r>
      <w:r w:rsidR="003B745E" w:rsidRPr="00780D64">
        <w:rPr>
          <w:sz w:val="20"/>
          <w:szCs w:val="20"/>
        </w:rPr>
        <w:t>n T</w:t>
      </w:r>
      <w:r w:rsidR="002E3D70" w:rsidRPr="00780D64">
        <w:rPr>
          <w:sz w:val="20"/>
          <w:szCs w:val="20"/>
        </w:rPr>
        <w:t>ử</w:t>
      </w:r>
      <w:r w:rsidR="003B745E" w:rsidRPr="00780D64">
        <w:rPr>
          <w:sz w:val="20"/>
          <w:szCs w:val="20"/>
        </w:rPr>
        <w:t xml:space="preserve"> L</w:t>
      </w:r>
      <w:r w:rsidR="002E3D70" w:rsidRPr="00780D64">
        <w:rPr>
          <w:sz w:val="20"/>
          <w:szCs w:val="20"/>
        </w:rPr>
        <w:t>ực</w:t>
      </w:r>
      <w:r w:rsidR="003B745E" w:rsidRPr="00780D64">
        <w:rPr>
          <w:sz w:val="20"/>
          <w:szCs w:val="20"/>
        </w:rPr>
        <w:t xml:space="preserve">, </w:t>
      </w:r>
      <w:r w:rsidR="002E3D70" w:rsidRPr="00780D64">
        <w:rPr>
          <w:sz w:val="20"/>
          <w:szCs w:val="20"/>
        </w:rPr>
        <w:t>Đà Lạt</w:t>
      </w:r>
    </w:p>
    <w:p w:rsidR="00434BEB" w:rsidRPr="00780D64" w:rsidRDefault="00434BEB" w:rsidP="00C847CB">
      <w:pPr>
        <w:spacing w:before="60" w:after="60" w:line="240" w:lineRule="auto"/>
        <w:jc w:val="center"/>
        <w:rPr>
          <w:sz w:val="20"/>
          <w:szCs w:val="20"/>
        </w:rPr>
      </w:pPr>
    </w:p>
    <w:p w:rsidR="00434BEB" w:rsidRDefault="00434BEB" w:rsidP="00C847CB">
      <w:pPr>
        <w:numPr>
          <w:ilvl w:val="0"/>
          <w:numId w:val="9"/>
        </w:numPr>
        <w:spacing w:before="60" w:after="60" w:line="240" w:lineRule="auto"/>
        <w:ind w:left="643"/>
        <w:jc w:val="both"/>
        <w:rPr>
          <w:b/>
          <w:sz w:val="20"/>
          <w:szCs w:val="20"/>
        </w:rPr>
        <w:sectPr w:rsidR="00434BEB" w:rsidSect="00C75F0D">
          <w:type w:val="continuous"/>
          <w:pgSz w:w="10773" w:h="15026" w:code="9"/>
          <w:pgMar w:top="567" w:right="567" w:bottom="567" w:left="567" w:header="720" w:footer="720" w:gutter="0"/>
          <w:cols w:space="284"/>
          <w:docGrid w:linePitch="360"/>
        </w:sectPr>
      </w:pPr>
    </w:p>
    <w:p w:rsidR="003B3DDD" w:rsidRPr="00780D64" w:rsidRDefault="002217DC" w:rsidP="00990797">
      <w:pPr>
        <w:spacing w:before="60" w:after="60" w:line="240" w:lineRule="auto"/>
        <w:jc w:val="both"/>
        <w:rPr>
          <w:b/>
          <w:sz w:val="20"/>
          <w:szCs w:val="20"/>
        </w:rPr>
      </w:pPr>
      <w:r>
        <w:rPr>
          <w:b/>
          <w:sz w:val="20"/>
          <w:szCs w:val="20"/>
        </w:rPr>
        <w:lastRenderedPageBreak/>
        <w:t xml:space="preserve">1. </w:t>
      </w:r>
      <w:r w:rsidR="003B3DDD" w:rsidRPr="00780D64">
        <w:rPr>
          <w:b/>
          <w:sz w:val="20"/>
          <w:szCs w:val="20"/>
        </w:rPr>
        <w:t>Tóm tắt</w:t>
      </w:r>
    </w:p>
    <w:p w:rsidR="00434BEB" w:rsidRDefault="001B1731" w:rsidP="00434BEB">
      <w:pPr>
        <w:spacing w:before="60" w:after="60" w:line="240" w:lineRule="auto"/>
        <w:ind w:firstLine="357"/>
        <w:jc w:val="both"/>
        <w:rPr>
          <w:sz w:val="20"/>
          <w:szCs w:val="20"/>
        </w:rPr>
      </w:pPr>
      <w:r>
        <w:rPr>
          <w:sz w:val="20"/>
          <w:szCs w:val="20"/>
        </w:rPr>
        <w:t xml:space="preserve">Selenium là </w:t>
      </w:r>
      <w:proofErr w:type="gramStart"/>
      <w:r>
        <w:rPr>
          <w:sz w:val="20"/>
          <w:szCs w:val="20"/>
        </w:rPr>
        <w:t>kim</w:t>
      </w:r>
      <w:proofErr w:type="gramEnd"/>
      <w:r>
        <w:rPr>
          <w:sz w:val="20"/>
          <w:szCs w:val="20"/>
        </w:rPr>
        <w:t xml:space="preserve"> loại </w:t>
      </w:r>
      <w:r w:rsidR="00545663">
        <w:rPr>
          <w:sz w:val="20"/>
          <w:szCs w:val="20"/>
        </w:rPr>
        <w:t xml:space="preserve">rất được quan tâm trong các </w:t>
      </w:r>
      <w:r w:rsidR="00C45F4F">
        <w:rPr>
          <w:sz w:val="20"/>
          <w:szCs w:val="20"/>
        </w:rPr>
        <w:t>mẫu địa chất, sinh học hay môi trường</w:t>
      </w:r>
      <w:r w:rsidR="00545663">
        <w:rPr>
          <w:sz w:val="20"/>
          <w:szCs w:val="20"/>
        </w:rPr>
        <w:t xml:space="preserve">. </w:t>
      </w:r>
      <w:proofErr w:type="gramStart"/>
      <w:r w:rsidR="00545663">
        <w:rPr>
          <w:sz w:val="20"/>
          <w:szCs w:val="20"/>
        </w:rPr>
        <w:t>Việc xác định Se t</w:t>
      </w:r>
      <w:r>
        <w:rPr>
          <w:sz w:val="20"/>
          <w:szCs w:val="20"/>
        </w:rPr>
        <w:t xml:space="preserve">rong các mẫu </w:t>
      </w:r>
      <w:r w:rsidR="00C45F4F">
        <w:rPr>
          <w:sz w:val="20"/>
          <w:szCs w:val="20"/>
        </w:rPr>
        <w:t>này</w:t>
      </w:r>
      <w:r>
        <w:rPr>
          <w:sz w:val="20"/>
          <w:szCs w:val="20"/>
        </w:rPr>
        <w:t xml:space="preserve"> </w:t>
      </w:r>
      <w:r w:rsidR="00C45F4F">
        <w:rPr>
          <w:sz w:val="20"/>
          <w:szCs w:val="20"/>
        </w:rPr>
        <w:t>có những kỹ thuật phân tích khác nhau</w:t>
      </w:r>
      <w:r w:rsidR="003F7B4C" w:rsidRPr="00780D64">
        <w:rPr>
          <w:sz w:val="20"/>
          <w:szCs w:val="20"/>
        </w:rPr>
        <w:t>.</w:t>
      </w:r>
      <w:proofErr w:type="gramEnd"/>
      <w:r w:rsidR="007334F9" w:rsidRPr="00780D64">
        <w:rPr>
          <w:sz w:val="20"/>
          <w:szCs w:val="20"/>
        </w:rPr>
        <w:t xml:space="preserve"> </w:t>
      </w:r>
      <w:proofErr w:type="gramStart"/>
      <w:r w:rsidR="007334F9" w:rsidRPr="00780D64">
        <w:rPr>
          <w:sz w:val="20"/>
          <w:szCs w:val="20"/>
        </w:rPr>
        <w:t>Các nghiên cứu phân tích kích hoạt</w:t>
      </w:r>
      <w:r w:rsidR="00C45F4F">
        <w:rPr>
          <w:sz w:val="20"/>
          <w:szCs w:val="20"/>
        </w:rPr>
        <w:t xml:space="preserve"> bằng phương pháp trùng phùng gamma-gamma</w:t>
      </w:r>
      <w:r w:rsidR="007334F9" w:rsidRPr="00780D64">
        <w:rPr>
          <w:sz w:val="20"/>
          <w:szCs w:val="20"/>
        </w:rPr>
        <w:t xml:space="preserve"> </w:t>
      </w:r>
      <w:r w:rsidR="00C45F4F">
        <w:rPr>
          <w:sz w:val="20"/>
          <w:szCs w:val="20"/>
        </w:rPr>
        <w:t>đối với</w:t>
      </w:r>
      <w:r w:rsidR="007334F9" w:rsidRPr="00780D64">
        <w:rPr>
          <w:sz w:val="20"/>
          <w:szCs w:val="20"/>
        </w:rPr>
        <w:t xml:space="preserve"> các mẫu địa chất, mẫu sinh học và mẫu môi trường đã được tiến hành ở </w:t>
      </w:r>
      <w:r w:rsidR="00457DA2" w:rsidRPr="00780D64">
        <w:rPr>
          <w:sz w:val="20"/>
          <w:szCs w:val="20"/>
        </w:rPr>
        <w:t>một số</w:t>
      </w:r>
      <w:r w:rsidR="007334F9" w:rsidRPr="00780D64">
        <w:rPr>
          <w:sz w:val="20"/>
          <w:szCs w:val="20"/>
        </w:rPr>
        <w:t xml:space="preserve"> phòng thí nghiệm trên thế giới</w:t>
      </w:r>
      <w:r w:rsidR="00934621" w:rsidRPr="00780D64">
        <w:rPr>
          <w:sz w:val="20"/>
          <w:szCs w:val="20"/>
        </w:rPr>
        <w:t>.</w:t>
      </w:r>
      <w:proofErr w:type="gramEnd"/>
      <w:r w:rsidR="003F7B4C" w:rsidRPr="00780D64">
        <w:rPr>
          <w:sz w:val="20"/>
          <w:szCs w:val="20"/>
        </w:rPr>
        <w:t xml:space="preserve"> </w:t>
      </w:r>
      <w:proofErr w:type="gramStart"/>
      <w:r w:rsidR="00987445" w:rsidRPr="00780D64">
        <w:rPr>
          <w:sz w:val="20"/>
          <w:szCs w:val="20"/>
        </w:rPr>
        <w:t>Trong b</w:t>
      </w:r>
      <w:r w:rsidR="008A6B0B" w:rsidRPr="00780D64">
        <w:rPr>
          <w:sz w:val="20"/>
          <w:szCs w:val="20"/>
        </w:rPr>
        <w:t>áo cáo này</w:t>
      </w:r>
      <w:r w:rsidR="007334F9" w:rsidRPr="00780D64">
        <w:rPr>
          <w:sz w:val="20"/>
          <w:szCs w:val="20"/>
        </w:rPr>
        <w:t>, chúng tôi</w:t>
      </w:r>
      <w:r w:rsidR="008A6B0B" w:rsidRPr="00780D64">
        <w:rPr>
          <w:sz w:val="20"/>
          <w:szCs w:val="20"/>
        </w:rPr>
        <w:t xml:space="preserve"> </w:t>
      </w:r>
      <w:r w:rsidR="003F7B4C" w:rsidRPr="00780D64">
        <w:rPr>
          <w:sz w:val="20"/>
          <w:szCs w:val="20"/>
        </w:rPr>
        <w:t xml:space="preserve">trình bày các kết quả nghiên cứu </w:t>
      </w:r>
      <w:r w:rsidR="00987445" w:rsidRPr="00780D64">
        <w:rPr>
          <w:sz w:val="20"/>
          <w:szCs w:val="20"/>
        </w:rPr>
        <w:t xml:space="preserve">xác định </w:t>
      </w:r>
      <w:r w:rsidR="003F7B4C" w:rsidRPr="00780D64">
        <w:rPr>
          <w:sz w:val="20"/>
          <w:szCs w:val="20"/>
        </w:rPr>
        <w:t>Se</w:t>
      </w:r>
      <w:r w:rsidR="00987445" w:rsidRPr="00780D64">
        <w:rPr>
          <w:sz w:val="20"/>
          <w:szCs w:val="20"/>
        </w:rPr>
        <w:t>lenium</w:t>
      </w:r>
      <w:r w:rsidR="003F7B4C" w:rsidRPr="00780D64">
        <w:rPr>
          <w:sz w:val="20"/>
          <w:szCs w:val="20"/>
        </w:rPr>
        <w:t xml:space="preserve"> trong mẫu địa chất</w:t>
      </w:r>
      <w:r w:rsidR="007334F9" w:rsidRPr="00780D64">
        <w:rPr>
          <w:sz w:val="20"/>
          <w:szCs w:val="20"/>
        </w:rPr>
        <w:t xml:space="preserve"> bằng phương pháp trùng phùng gamma - gamma</w:t>
      </w:r>
      <w:r w:rsidR="003F7B4C" w:rsidRPr="00780D64">
        <w:rPr>
          <w:sz w:val="20"/>
          <w:szCs w:val="20"/>
        </w:rPr>
        <w:t>.</w:t>
      </w:r>
      <w:proofErr w:type="gramEnd"/>
      <w:r w:rsidR="003F7B4C" w:rsidRPr="00780D64">
        <w:rPr>
          <w:sz w:val="20"/>
          <w:szCs w:val="20"/>
        </w:rPr>
        <w:t xml:space="preserve"> Kết quả cho thấy phương pháp</w:t>
      </w:r>
      <w:r w:rsidR="007334F9" w:rsidRPr="00780D64">
        <w:rPr>
          <w:sz w:val="20"/>
          <w:szCs w:val="20"/>
        </w:rPr>
        <w:t xml:space="preserve"> này</w:t>
      </w:r>
      <w:r w:rsidR="003F7B4C" w:rsidRPr="00780D64">
        <w:rPr>
          <w:sz w:val="20"/>
          <w:szCs w:val="20"/>
        </w:rPr>
        <w:t xml:space="preserve"> có khả năng loại </w:t>
      </w:r>
      <w:r w:rsidR="007334F9" w:rsidRPr="00780D64">
        <w:rPr>
          <w:sz w:val="20"/>
          <w:szCs w:val="20"/>
        </w:rPr>
        <w:t xml:space="preserve">bỏ </w:t>
      </w:r>
      <w:r w:rsidR="003F7B4C" w:rsidRPr="00780D64">
        <w:rPr>
          <w:sz w:val="20"/>
          <w:szCs w:val="20"/>
        </w:rPr>
        <w:t>ảnh hưởng của các đồng vị gây nhiễu như</w:t>
      </w:r>
      <w:r w:rsidR="00116299" w:rsidRPr="00780D64">
        <w:rPr>
          <w:sz w:val="20"/>
          <w:szCs w:val="20"/>
        </w:rPr>
        <w:t xml:space="preserve"> </w:t>
      </w:r>
      <w:r w:rsidR="00C43B98" w:rsidRPr="00780D64">
        <w:rPr>
          <w:sz w:val="20"/>
          <w:szCs w:val="20"/>
          <w:vertAlign w:val="superscript"/>
        </w:rPr>
        <w:t>182</w:t>
      </w:r>
      <w:r w:rsidR="00637B39" w:rsidRPr="00780D64">
        <w:rPr>
          <w:sz w:val="20"/>
          <w:szCs w:val="20"/>
        </w:rPr>
        <w:t xml:space="preserve">Ta, </w:t>
      </w:r>
      <w:r w:rsidR="00C43B98" w:rsidRPr="00780D64">
        <w:rPr>
          <w:sz w:val="20"/>
          <w:szCs w:val="20"/>
          <w:vertAlign w:val="superscript"/>
        </w:rPr>
        <w:t>181</w:t>
      </w:r>
      <w:r w:rsidR="00116299" w:rsidRPr="00780D64">
        <w:rPr>
          <w:sz w:val="20"/>
          <w:szCs w:val="20"/>
        </w:rPr>
        <w:t>Hf</w:t>
      </w:r>
      <w:r w:rsidR="00637B39" w:rsidRPr="00780D64">
        <w:rPr>
          <w:sz w:val="20"/>
          <w:szCs w:val="20"/>
        </w:rPr>
        <w:t xml:space="preserve"> và </w:t>
      </w:r>
      <w:r w:rsidR="00637B39" w:rsidRPr="00780D64">
        <w:rPr>
          <w:sz w:val="20"/>
          <w:szCs w:val="20"/>
          <w:vertAlign w:val="superscript"/>
        </w:rPr>
        <w:t>152</w:t>
      </w:r>
      <w:r w:rsidR="00637B39" w:rsidRPr="00780D64">
        <w:rPr>
          <w:sz w:val="20"/>
          <w:szCs w:val="20"/>
        </w:rPr>
        <w:t>Eu</w:t>
      </w:r>
      <w:r w:rsidR="00C43B98" w:rsidRPr="00780D64">
        <w:rPr>
          <w:sz w:val="20"/>
          <w:szCs w:val="20"/>
        </w:rPr>
        <w:t xml:space="preserve"> </w:t>
      </w:r>
      <w:r w:rsidR="003F7B4C" w:rsidRPr="00780D64">
        <w:rPr>
          <w:sz w:val="20"/>
          <w:szCs w:val="20"/>
        </w:rPr>
        <w:t>ra khỏi phổ đo</w:t>
      </w:r>
      <w:r w:rsidR="00987445" w:rsidRPr="00780D64">
        <w:rPr>
          <w:sz w:val="20"/>
          <w:szCs w:val="20"/>
        </w:rPr>
        <w:t>,</w:t>
      </w:r>
      <w:r w:rsidR="003F7B4C" w:rsidRPr="00780D64">
        <w:rPr>
          <w:sz w:val="20"/>
          <w:szCs w:val="20"/>
        </w:rPr>
        <w:t xml:space="preserve"> do đó đã </w:t>
      </w:r>
      <w:r w:rsidR="00987445" w:rsidRPr="00780D64">
        <w:rPr>
          <w:sz w:val="20"/>
          <w:szCs w:val="20"/>
        </w:rPr>
        <w:t>cải thiện</w:t>
      </w:r>
      <w:r w:rsidR="003F7B4C" w:rsidRPr="00780D64">
        <w:rPr>
          <w:sz w:val="20"/>
          <w:szCs w:val="20"/>
        </w:rPr>
        <w:t xml:space="preserve"> được giới hạn phát hiện đối với Se</w:t>
      </w:r>
      <w:r w:rsidR="00987445" w:rsidRPr="00780D64">
        <w:rPr>
          <w:sz w:val="20"/>
          <w:szCs w:val="20"/>
        </w:rPr>
        <w:t>lenium</w:t>
      </w:r>
      <w:r w:rsidR="003F7B4C" w:rsidRPr="00780D64">
        <w:rPr>
          <w:sz w:val="20"/>
          <w:szCs w:val="20"/>
        </w:rPr>
        <w:t xml:space="preserve"> trong mẫu địa chất</w:t>
      </w:r>
      <w:r w:rsidR="00E83AB8" w:rsidRPr="00780D64">
        <w:rPr>
          <w:sz w:val="20"/>
          <w:szCs w:val="20"/>
        </w:rPr>
        <w:t xml:space="preserve"> khi phân tích bằng phương pháp kích hoạt nơtron</w:t>
      </w:r>
      <w:r w:rsidR="00434BEB">
        <w:rPr>
          <w:sz w:val="20"/>
          <w:szCs w:val="20"/>
        </w:rPr>
        <w:t>.</w:t>
      </w:r>
    </w:p>
    <w:p w:rsidR="002217DC" w:rsidRDefault="00637B39" w:rsidP="002217DC">
      <w:pPr>
        <w:spacing w:before="60" w:after="60" w:line="240" w:lineRule="auto"/>
        <w:ind w:firstLine="357"/>
        <w:jc w:val="both"/>
        <w:rPr>
          <w:i/>
          <w:sz w:val="20"/>
          <w:szCs w:val="20"/>
        </w:rPr>
      </w:pPr>
      <w:r w:rsidRPr="00780D64">
        <w:rPr>
          <w:i/>
          <w:sz w:val="20"/>
          <w:szCs w:val="20"/>
        </w:rPr>
        <w:t>Từ khóa: phân tích kích hoạ</w:t>
      </w:r>
      <w:r w:rsidR="00934621" w:rsidRPr="00780D64">
        <w:rPr>
          <w:i/>
          <w:sz w:val="20"/>
          <w:szCs w:val="20"/>
        </w:rPr>
        <w:t>t;</w:t>
      </w:r>
      <w:r w:rsidRPr="00780D64">
        <w:rPr>
          <w:i/>
          <w:sz w:val="20"/>
          <w:szCs w:val="20"/>
        </w:rPr>
        <w:t xml:space="preserve"> trùng phùng gamma-gamma</w:t>
      </w:r>
      <w:r w:rsidR="00934621" w:rsidRPr="00780D64">
        <w:rPr>
          <w:i/>
          <w:sz w:val="20"/>
          <w:szCs w:val="20"/>
        </w:rPr>
        <w:t>;</w:t>
      </w:r>
      <w:r w:rsidR="00987445" w:rsidRPr="00780D64">
        <w:rPr>
          <w:i/>
          <w:sz w:val="20"/>
          <w:szCs w:val="20"/>
        </w:rPr>
        <w:t xml:space="preserve"> xác định selenium</w:t>
      </w:r>
      <w:r w:rsidR="00934621" w:rsidRPr="00780D64">
        <w:rPr>
          <w:i/>
          <w:sz w:val="20"/>
          <w:szCs w:val="20"/>
        </w:rPr>
        <w:t xml:space="preserve">; </w:t>
      </w:r>
      <w:r w:rsidR="00C014E0" w:rsidRPr="00780D64">
        <w:rPr>
          <w:i/>
          <w:sz w:val="20"/>
          <w:szCs w:val="20"/>
        </w:rPr>
        <w:t>phương pháp</w:t>
      </w:r>
      <w:r w:rsidR="00934621" w:rsidRPr="00780D64">
        <w:rPr>
          <w:i/>
          <w:sz w:val="20"/>
          <w:szCs w:val="20"/>
        </w:rPr>
        <w:t xml:space="preserve"> trùng phùng; giới hạn phát hiện.</w:t>
      </w:r>
    </w:p>
    <w:p w:rsidR="003B3DDD" w:rsidRPr="002217DC" w:rsidRDefault="002217DC" w:rsidP="00990797">
      <w:pPr>
        <w:spacing w:before="60" w:after="60" w:line="240" w:lineRule="auto"/>
        <w:jc w:val="both"/>
        <w:rPr>
          <w:i/>
          <w:sz w:val="20"/>
          <w:szCs w:val="20"/>
        </w:rPr>
      </w:pPr>
      <w:r w:rsidRPr="002217DC">
        <w:rPr>
          <w:b/>
          <w:sz w:val="20"/>
          <w:szCs w:val="20"/>
        </w:rPr>
        <w:t xml:space="preserve">2. </w:t>
      </w:r>
      <w:r w:rsidR="003F64F9" w:rsidRPr="002217DC">
        <w:rPr>
          <w:b/>
          <w:sz w:val="20"/>
          <w:szCs w:val="20"/>
        </w:rPr>
        <w:t>Đặt vấn đề</w:t>
      </w:r>
    </w:p>
    <w:p w:rsidR="006C75DF" w:rsidRPr="00780D64" w:rsidRDefault="003B3DDD" w:rsidP="00C847CB">
      <w:pPr>
        <w:spacing w:before="60" w:after="60" w:line="240" w:lineRule="auto"/>
        <w:ind w:firstLine="360"/>
        <w:jc w:val="both"/>
        <w:rPr>
          <w:sz w:val="20"/>
          <w:szCs w:val="20"/>
        </w:rPr>
      </w:pPr>
      <w:proofErr w:type="gramStart"/>
      <w:r w:rsidRPr="00780D64">
        <w:rPr>
          <w:sz w:val="20"/>
          <w:szCs w:val="20"/>
        </w:rPr>
        <w:t xml:space="preserve">Phương pháp trùng phùng gamma-gamma được </w:t>
      </w:r>
      <w:r w:rsidR="007369AD" w:rsidRPr="00780D64">
        <w:rPr>
          <w:sz w:val="20"/>
          <w:szCs w:val="20"/>
        </w:rPr>
        <w:t xml:space="preserve">ứng </w:t>
      </w:r>
      <w:r w:rsidRPr="00780D64">
        <w:rPr>
          <w:sz w:val="20"/>
          <w:szCs w:val="20"/>
        </w:rPr>
        <w:t xml:space="preserve">dụng </w:t>
      </w:r>
      <w:r w:rsidR="007369AD" w:rsidRPr="00780D64">
        <w:rPr>
          <w:sz w:val="20"/>
          <w:szCs w:val="20"/>
        </w:rPr>
        <w:t>chủ yếu trong nghiên cứu số liệu và cấu trúc hạt nhân.</w:t>
      </w:r>
      <w:proofErr w:type="gramEnd"/>
      <w:r w:rsidR="007369AD" w:rsidRPr="00780D64">
        <w:rPr>
          <w:sz w:val="20"/>
          <w:szCs w:val="20"/>
        </w:rPr>
        <w:t xml:space="preserve"> Nhờ khả năng giảm phông và chọn lựa các tia gamma trùng phùng nên </w:t>
      </w:r>
      <w:r w:rsidR="00A5446A" w:rsidRPr="00780D64">
        <w:rPr>
          <w:sz w:val="20"/>
          <w:szCs w:val="20"/>
        </w:rPr>
        <w:t xml:space="preserve">phương pháp </w:t>
      </w:r>
      <w:r w:rsidR="007369AD" w:rsidRPr="00780D64">
        <w:rPr>
          <w:sz w:val="20"/>
          <w:szCs w:val="20"/>
        </w:rPr>
        <w:t xml:space="preserve">đã được nghiên cứu ứng dụng </w:t>
      </w:r>
      <w:r w:rsidR="00733F5C" w:rsidRPr="00780D64">
        <w:rPr>
          <w:sz w:val="20"/>
          <w:szCs w:val="20"/>
        </w:rPr>
        <w:t>trong</w:t>
      </w:r>
      <w:r w:rsidRPr="00780D64">
        <w:rPr>
          <w:sz w:val="20"/>
          <w:szCs w:val="20"/>
        </w:rPr>
        <w:t xml:space="preserve"> phân tích kích hoạt (INAA)</w:t>
      </w:r>
      <w:r w:rsidR="00A5446A" w:rsidRPr="00780D64">
        <w:rPr>
          <w:sz w:val="20"/>
          <w:szCs w:val="20"/>
        </w:rPr>
        <w:t xml:space="preserve"> [</w:t>
      </w:r>
      <w:r w:rsidR="00D624B9" w:rsidRPr="00780D64">
        <w:rPr>
          <w:sz w:val="20"/>
          <w:szCs w:val="20"/>
        </w:rPr>
        <w:t>1</w:t>
      </w:r>
      <w:proofErr w:type="gramStart"/>
      <w:r w:rsidR="00D624B9" w:rsidRPr="00780D64">
        <w:rPr>
          <w:sz w:val="20"/>
          <w:szCs w:val="20"/>
        </w:rPr>
        <w:t>,2,3</w:t>
      </w:r>
      <w:proofErr w:type="gramEnd"/>
      <w:r w:rsidR="00A5446A" w:rsidRPr="00780D64">
        <w:rPr>
          <w:sz w:val="20"/>
          <w:szCs w:val="20"/>
        </w:rPr>
        <w:t>]</w:t>
      </w:r>
      <w:r w:rsidRPr="00780D64">
        <w:rPr>
          <w:sz w:val="20"/>
          <w:szCs w:val="20"/>
        </w:rPr>
        <w:t>. Y. Hatsukawa đã</w:t>
      </w:r>
      <w:r w:rsidR="00E7668F" w:rsidRPr="00780D64">
        <w:rPr>
          <w:sz w:val="20"/>
          <w:szCs w:val="20"/>
        </w:rPr>
        <w:t xml:space="preserve"> </w:t>
      </w:r>
      <w:r w:rsidR="00E07D86" w:rsidRPr="00780D64">
        <w:rPr>
          <w:sz w:val="20"/>
          <w:szCs w:val="20"/>
        </w:rPr>
        <w:t xml:space="preserve">sử dụng </w:t>
      </w:r>
      <w:r w:rsidR="001C3AAE" w:rsidRPr="00780D64">
        <w:rPr>
          <w:sz w:val="20"/>
          <w:szCs w:val="20"/>
        </w:rPr>
        <w:t xml:space="preserve">hệ đo </w:t>
      </w:r>
      <w:r w:rsidR="00E07D86" w:rsidRPr="00780D64">
        <w:rPr>
          <w:sz w:val="20"/>
          <w:szCs w:val="20"/>
        </w:rPr>
        <w:t xml:space="preserve">trùng phùng </w:t>
      </w:r>
      <w:r w:rsidR="001C3AAE" w:rsidRPr="00780D64">
        <w:rPr>
          <w:sz w:val="20"/>
          <w:szCs w:val="20"/>
        </w:rPr>
        <w:t>với 12 dete</w:t>
      </w:r>
      <w:r w:rsidR="00245F74" w:rsidRPr="00780D64">
        <w:rPr>
          <w:sz w:val="20"/>
          <w:szCs w:val="20"/>
        </w:rPr>
        <w:t>ctor Ge và</w:t>
      </w:r>
      <w:r w:rsidR="001C3AAE" w:rsidRPr="00780D64">
        <w:rPr>
          <w:sz w:val="20"/>
          <w:szCs w:val="20"/>
        </w:rPr>
        <w:t xml:space="preserve"> xác định</w:t>
      </w:r>
      <w:r w:rsidR="00245F74" w:rsidRPr="00780D64">
        <w:rPr>
          <w:sz w:val="20"/>
          <w:szCs w:val="20"/>
        </w:rPr>
        <w:t xml:space="preserve"> được</w:t>
      </w:r>
      <w:r w:rsidR="001C3AAE" w:rsidRPr="00780D64">
        <w:rPr>
          <w:sz w:val="20"/>
          <w:szCs w:val="20"/>
        </w:rPr>
        <w:t xml:space="preserve"> </w:t>
      </w:r>
      <w:r w:rsidR="00E7668F" w:rsidRPr="00780D64">
        <w:rPr>
          <w:sz w:val="20"/>
          <w:szCs w:val="20"/>
        </w:rPr>
        <w:t xml:space="preserve">hàm lượng </w:t>
      </w:r>
      <w:r w:rsidR="00733F5C" w:rsidRPr="00780D64">
        <w:rPr>
          <w:sz w:val="20"/>
          <w:szCs w:val="20"/>
        </w:rPr>
        <w:t>của 24</w:t>
      </w:r>
      <w:r w:rsidR="00E7668F" w:rsidRPr="00780D64">
        <w:rPr>
          <w:sz w:val="20"/>
          <w:szCs w:val="20"/>
        </w:rPr>
        <w:t xml:space="preserve"> nguyên tố trong mẫu</w:t>
      </w:r>
      <w:r w:rsidR="0022770F" w:rsidRPr="00780D64">
        <w:rPr>
          <w:sz w:val="20"/>
          <w:szCs w:val="20"/>
        </w:rPr>
        <w:t xml:space="preserve"> chuẩn</w:t>
      </w:r>
      <w:r w:rsidR="00387695" w:rsidRPr="00780D64">
        <w:rPr>
          <w:sz w:val="20"/>
          <w:szCs w:val="20"/>
        </w:rPr>
        <w:t xml:space="preserve"> đá củ</w:t>
      </w:r>
      <w:r w:rsidR="0022770F" w:rsidRPr="00780D64">
        <w:rPr>
          <w:sz w:val="20"/>
          <w:szCs w:val="20"/>
        </w:rPr>
        <w:t>a C</w:t>
      </w:r>
      <w:r w:rsidR="00387695" w:rsidRPr="00780D64">
        <w:rPr>
          <w:sz w:val="20"/>
          <w:szCs w:val="20"/>
        </w:rPr>
        <w:t xml:space="preserve">ục địa chất Nhật </w:t>
      </w:r>
      <w:proofErr w:type="gramStart"/>
      <w:r w:rsidR="00387695" w:rsidRPr="00780D64">
        <w:rPr>
          <w:sz w:val="20"/>
          <w:szCs w:val="20"/>
        </w:rPr>
        <w:t>Bản</w:t>
      </w:r>
      <w:r w:rsidR="00E07D86" w:rsidRPr="00780D64">
        <w:rPr>
          <w:sz w:val="20"/>
          <w:szCs w:val="20"/>
        </w:rPr>
        <w:t>[</w:t>
      </w:r>
      <w:proofErr w:type="gramEnd"/>
      <w:r w:rsidR="00D624B9" w:rsidRPr="00780D64">
        <w:rPr>
          <w:sz w:val="20"/>
          <w:szCs w:val="20"/>
        </w:rPr>
        <w:t>1</w:t>
      </w:r>
      <w:r w:rsidR="00E07D86" w:rsidRPr="00780D64">
        <w:rPr>
          <w:sz w:val="20"/>
          <w:szCs w:val="20"/>
        </w:rPr>
        <w:t>]</w:t>
      </w:r>
      <w:r w:rsidR="00A5446A" w:rsidRPr="00780D64">
        <w:rPr>
          <w:sz w:val="20"/>
          <w:szCs w:val="20"/>
        </w:rPr>
        <w:t>.</w:t>
      </w:r>
    </w:p>
    <w:p w:rsidR="00FF1A6A" w:rsidRPr="00780D64" w:rsidRDefault="00E7668F" w:rsidP="00C847CB">
      <w:pPr>
        <w:spacing w:before="60" w:after="60" w:line="240" w:lineRule="auto"/>
        <w:ind w:firstLine="360"/>
        <w:jc w:val="both"/>
        <w:rPr>
          <w:sz w:val="20"/>
          <w:szCs w:val="20"/>
        </w:rPr>
      </w:pPr>
      <w:r w:rsidRPr="00780D64">
        <w:rPr>
          <w:sz w:val="20"/>
          <w:szCs w:val="20"/>
        </w:rPr>
        <w:t>B.E. Tomlin, R. Zeisler, R.M. Lindstrom</w:t>
      </w:r>
      <w:r w:rsidR="00733F5C" w:rsidRPr="00780D64">
        <w:rPr>
          <w:sz w:val="20"/>
          <w:szCs w:val="20"/>
        </w:rPr>
        <w:t xml:space="preserve"> </w:t>
      </w:r>
      <w:r w:rsidR="00BB731A" w:rsidRPr="00780D64">
        <w:rPr>
          <w:sz w:val="20"/>
          <w:szCs w:val="20"/>
        </w:rPr>
        <w:t xml:space="preserve">khi </w:t>
      </w:r>
      <w:r w:rsidRPr="00780D64">
        <w:rPr>
          <w:sz w:val="20"/>
          <w:szCs w:val="20"/>
        </w:rPr>
        <w:t xml:space="preserve">phân tích </w:t>
      </w:r>
      <w:r w:rsidR="00825FA3" w:rsidRPr="00780D64">
        <w:rPr>
          <w:sz w:val="20"/>
          <w:szCs w:val="20"/>
        </w:rPr>
        <w:t xml:space="preserve">Se trong </w:t>
      </w:r>
      <w:r w:rsidRPr="00780D64">
        <w:rPr>
          <w:sz w:val="20"/>
          <w:szCs w:val="20"/>
        </w:rPr>
        <w:t>mẫu chuẩn</w:t>
      </w:r>
      <w:r w:rsidR="00653471" w:rsidRPr="00780D64">
        <w:rPr>
          <w:sz w:val="20"/>
          <w:szCs w:val="20"/>
        </w:rPr>
        <w:t xml:space="preserve"> Bovine Liver</w:t>
      </w:r>
      <w:r w:rsidR="00733F5C" w:rsidRPr="00780D64">
        <w:rPr>
          <w:sz w:val="20"/>
          <w:szCs w:val="20"/>
        </w:rPr>
        <w:t xml:space="preserve"> SRM-1577</w:t>
      </w:r>
      <w:r w:rsidR="00BB731A" w:rsidRPr="00780D64">
        <w:rPr>
          <w:sz w:val="20"/>
          <w:szCs w:val="20"/>
        </w:rPr>
        <w:t xml:space="preserve"> bằng phương pháp trùng phùng gamma</w:t>
      </w:r>
      <w:r w:rsidR="00825FA3" w:rsidRPr="00780D64">
        <w:rPr>
          <w:sz w:val="20"/>
          <w:szCs w:val="20"/>
        </w:rPr>
        <w:t xml:space="preserve">, </w:t>
      </w:r>
      <w:r w:rsidR="00BB731A" w:rsidRPr="00780D64">
        <w:rPr>
          <w:sz w:val="20"/>
          <w:szCs w:val="20"/>
        </w:rPr>
        <w:t>tỉ số đỉnh trên phông</w:t>
      </w:r>
      <w:r w:rsidR="00F02C0E" w:rsidRPr="00780D64">
        <w:rPr>
          <w:sz w:val="20"/>
          <w:szCs w:val="20"/>
        </w:rPr>
        <w:t xml:space="preserve"> </w:t>
      </w:r>
      <w:r w:rsidR="00825FA3" w:rsidRPr="00780D64">
        <w:rPr>
          <w:sz w:val="20"/>
          <w:szCs w:val="20"/>
        </w:rPr>
        <w:t>tại các đỉnh 121 keV</w:t>
      </w:r>
      <w:r w:rsidR="00F22D09">
        <w:rPr>
          <w:sz w:val="20"/>
          <w:szCs w:val="20"/>
        </w:rPr>
        <w:t xml:space="preserve">; </w:t>
      </w:r>
      <w:r w:rsidR="00825FA3" w:rsidRPr="00780D64">
        <w:rPr>
          <w:sz w:val="20"/>
          <w:szCs w:val="20"/>
        </w:rPr>
        <w:t>136 keV</w:t>
      </w:r>
      <w:r w:rsidR="00F22D09">
        <w:rPr>
          <w:sz w:val="20"/>
          <w:szCs w:val="20"/>
        </w:rPr>
        <w:t>;</w:t>
      </w:r>
      <w:r w:rsidR="00825FA3" w:rsidRPr="00780D64">
        <w:rPr>
          <w:sz w:val="20"/>
          <w:szCs w:val="20"/>
        </w:rPr>
        <w:t xml:space="preserve"> 264 keV và 279 keV của </w:t>
      </w:r>
      <w:r w:rsidR="00825FA3" w:rsidRPr="00780D64">
        <w:rPr>
          <w:sz w:val="20"/>
          <w:szCs w:val="20"/>
          <w:vertAlign w:val="superscript"/>
        </w:rPr>
        <w:t>75</w:t>
      </w:r>
      <w:r w:rsidR="00F22D09">
        <w:rPr>
          <w:sz w:val="20"/>
          <w:szCs w:val="20"/>
        </w:rPr>
        <w:t>Se đã tăng lên 257,1; 360,0; 733,1 và 598,</w:t>
      </w:r>
      <w:r w:rsidR="00825FA3" w:rsidRPr="00780D64">
        <w:rPr>
          <w:sz w:val="20"/>
          <w:szCs w:val="20"/>
        </w:rPr>
        <w:t>6 lần tương ứng so với đo thông thường[</w:t>
      </w:r>
      <w:r w:rsidR="00D624B9" w:rsidRPr="00780D64">
        <w:rPr>
          <w:sz w:val="20"/>
          <w:szCs w:val="20"/>
        </w:rPr>
        <w:t>3</w:t>
      </w:r>
      <w:r w:rsidR="00825FA3" w:rsidRPr="00780D64">
        <w:rPr>
          <w:sz w:val="20"/>
          <w:szCs w:val="20"/>
        </w:rPr>
        <w:t>].</w:t>
      </w:r>
    </w:p>
    <w:p w:rsidR="005D7E93" w:rsidRPr="00780D64" w:rsidRDefault="0090319E" w:rsidP="00C847CB">
      <w:pPr>
        <w:spacing w:before="60" w:after="60" w:line="240" w:lineRule="auto"/>
        <w:ind w:firstLine="426"/>
        <w:jc w:val="both"/>
        <w:rPr>
          <w:sz w:val="20"/>
          <w:szCs w:val="20"/>
        </w:rPr>
      </w:pPr>
      <w:r w:rsidRPr="00780D64">
        <w:rPr>
          <w:sz w:val="20"/>
          <w:szCs w:val="20"/>
        </w:rPr>
        <w:t xml:space="preserve">Khi phân tích Se bằng phương pháp kích hoạt nơtron, đồng vị thường được sử dụng là </w:t>
      </w:r>
      <w:r w:rsidR="009C6A4C" w:rsidRPr="00780D64">
        <w:rPr>
          <w:sz w:val="20"/>
          <w:szCs w:val="20"/>
          <w:vertAlign w:val="superscript"/>
        </w:rPr>
        <w:t>75</w:t>
      </w:r>
      <w:r w:rsidR="00A01BDF" w:rsidRPr="00780D64">
        <w:rPr>
          <w:sz w:val="20"/>
          <w:szCs w:val="20"/>
        </w:rPr>
        <w:t>Se</w:t>
      </w:r>
      <w:r w:rsidRPr="00780D64">
        <w:rPr>
          <w:sz w:val="20"/>
          <w:szCs w:val="20"/>
        </w:rPr>
        <w:t xml:space="preserve">, đồng vị này phát các tia gamma có năng lượng </w:t>
      </w:r>
      <w:r w:rsidR="005F40C2" w:rsidRPr="00780D64">
        <w:rPr>
          <w:sz w:val="20"/>
          <w:szCs w:val="20"/>
        </w:rPr>
        <w:t>121</w:t>
      </w:r>
      <w:proofErr w:type="gramStart"/>
      <w:r w:rsidR="005F40C2" w:rsidRPr="00780D64">
        <w:rPr>
          <w:sz w:val="20"/>
          <w:szCs w:val="20"/>
        </w:rPr>
        <w:t>,8</w:t>
      </w:r>
      <w:proofErr w:type="gramEnd"/>
      <w:r w:rsidR="005F40C2" w:rsidRPr="00780D64">
        <w:rPr>
          <w:sz w:val="20"/>
          <w:szCs w:val="20"/>
        </w:rPr>
        <w:t xml:space="preserve"> keV; 136,0 keV; 264,7 keV và 400,7 keV</w:t>
      </w:r>
      <w:r w:rsidRPr="00780D64">
        <w:rPr>
          <w:sz w:val="20"/>
          <w:szCs w:val="20"/>
        </w:rPr>
        <w:t>. Trong mẫu địa chất,</w:t>
      </w:r>
      <w:r w:rsidR="005F40C2" w:rsidRPr="00780D64">
        <w:rPr>
          <w:sz w:val="20"/>
          <w:szCs w:val="20"/>
        </w:rPr>
        <w:t xml:space="preserve"> </w:t>
      </w:r>
      <w:r w:rsidR="00665E56" w:rsidRPr="00780D64">
        <w:rPr>
          <w:sz w:val="20"/>
          <w:szCs w:val="20"/>
        </w:rPr>
        <w:t>đỉnh</w:t>
      </w:r>
      <w:r w:rsidR="005F40C2" w:rsidRPr="00780D64">
        <w:rPr>
          <w:sz w:val="20"/>
          <w:szCs w:val="20"/>
        </w:rPr>
        <w:t xml:space="preserve"> 121</w:t>
      </w:r>
      <w:proofErr w:type="gramStart"/>
      <w:r w:rsidR="005F40C2" w:rsidRPr="00780D64">
        <w:rPr>
          <w:sz w:val="20"/>
          <w:szCs w:val="20"/>
        </w:rPr>
        <w:t>,8</w:t>
      </w:r>
      <w:proofErr w:type="gramEnd"/>
      <w:r w:rsidR="005F40C2" w:rsidRPr="00780D64">
        <w:rPr>
          <w:sz w:val="20"/>
          <w:szCs w:val="20"/>
        </w:rPr>
        <w:t xml:space="preserve"> keV của </w:t>
      </w:r>
      <w:r w:rsidR="00665E56" w:rsidRPr="00780D64">
        <w:rPr>
          <w:sz w:val="20"/>
          <w:szCs w:val="20"/>
          <w:vertAlign w:val="superscript"/>
        </w:rPr>
        <w:t>75</w:t>
      </w:r>
      <w:r w:rsidR="00665E56" w:rsidRPr="00780D64">
        <w:rPr>
          <w:sz w:val="20"/>
          <w:szCs w:val="20"/>
        </w:rPr>
        <w:t>Se</w:t>
      </w:r>
      <w:r w:rsidR="005F40C2" w:rsidRPr="00780D64">
        <w:rPr>
          <w:sz w:val="20"/>
          <w:szCs w:val="20"/>
        </w:rPr>
        <w:t xml:space="preserve"> </w:t>
      </w:r>
      <w:r w:rsidR="00665E56" w:rsidRPr="00780D64">
        <w:rPr>
          <w:sz w:val="20"/>
          <w:szCs w:val="20"/>
        </w:rPr>
        <w:t xml:space="preserve">bị </w:t>
      </w:r>
      <w:r w:rsidRPr="00780D64">
        <w:rPr>
          <w:sz w:val="20"/>
          <w:szCs w:val="20"/>
        </w:rPr>
        <w:t xml:space="preserve">ảnh hưởng </w:t>
      </w:r>
      <w:r w:rsidR="00665E56" w:rsidRPr="00780D64">
        <w:rPr>
          <w:sz w:val="20"/>
          <w:szCs w:val="20"/>
        </w:rPr>
        <w:t>bởi</w:t>
      </w:r>
      <w:r w:rsidR="005F40C2" w:rsidRPr="00780D64">
        <w:rPr>
          <w:sz w:val="20"/>
          <w:szCs w:val="20"/>
        </w:rPr>
        <w:t xml:space="preserve"> </w:t>
      </w:r>
      <w:r w:rsidRPr="00780D64">
        <w:rPr>
          <w:sz w:val="20"/>
          <w:szCs w:val="20"/>
        </w:rPr>
        <w:t xml:space="preserve">đỉnh </w:t>
      </w:r>
      <w:r w:rsidR="005F40C2" w:rsidRPr="00780D64">
        <w:rPr>
          <w:sz w:val="20"/>
          <w:szCs w:val="20"/>
        </w:rPr>
        <w:t>121,1 keV của</w:t>
      </w:r>
      <w:r w:rsidR="00665E56" w:rsidRPr="00780D64">
        <w:rPr>
          <w:sz w:val="20"/>
          <w:szCs w:val="20"/>
        </w:rPr>
        <w:t xml:space="preserve"> </w:t>
      </w:r>
      <w:r w:rsidR="00665E56" w:rsidRPr="00780D64">
        <w:rPr>
          <w:sz w:val="20"/>
          <w:szCs w:val="20"/>
          <w:vertAlign w:val="superscript"/>
        </w:rPr>
        <w:t>152</w:t>
      </w:r>
      <w:r w:rsidR="00665E56" w:rsidRPr="00780D64">
        <w:rPr>
          <w:sz w:val="20"/>
          <w:szCs w:val="20"/>
        </w:rPr>
        <w:t>Eu</w:t>
      </w:r>
      <w:r w:rsidR="005F40C2" w:rsidRPr="00780D64">
        <w:rPr>
          <w:sz w:val="20"/>
          <w:szCs w:val="20"/>
        </w:rPr>
        <w:t xml:space="preserve">, đỉnh 136,0 keV bị </w:t>
      </w:r>
      <w:r w:rsidRPr="00780D64">
        <w:rPr>
          <w:sz w:val="20"/>
          <w:szCs w:val="20"/>
        </w:rPr>
        <w:t xml:space="preserve">ảnh hưởng </w:t>
      </w:r>
      <w:r w:rsidR="005F40C2" w:rsidRPr="00780D64">
        <w:rPr>
          <w:sz w:val="20"/>
          <w:szCs w:val="20"/>
        </w:rPr>
        <w:t>bởi</w:t>
      </w:r>
      <w:r w:rsidRPr="00780D64">
        <w:rPr>
          <w:sz w:val="20"/>
          <w:szCs w:val="20"/>
        </w:rPr>
        <w:t xml:space="preserve"> đỉnh</w:t>
      </w:r>
      <w:r w:rsidR="005F40C2" w:rsidRPr="00780D64">
        <w:rPr>
          <w:sz w:val="20"/>
          <w:szCs w:val="20"/>
        </w:rPr>
        <w:t xml:space="preserve"> 136,3</w:t>
      </w:r>
      <w:r w:rsidR="00071B07" w:rsidRPr="00780D64">
        <w:rPr>
          <w:sz w:val="20"/>
          <w:szCs w:val="20"/>
        </w:rPr>
        <w:t xml:space="preserve"> keV </w:t>
      </w:r>
      <w:r w:rsidR="005F40C2" w:rsidRPr="00780D64">
        <w:rPr>
          <w:sz w:val="20"/>
          <w:szCs w:val="20"/>
        </w:rPr>
        <w:t xml:space="preserve">của </w:t>
      </w:r>
      <w:r w:rsidR="005F40C2" w:rsidRPr="00780D64">
        <w:rPr>
          <w:sz w:val="20"/>
          <w:szCs w:val="20"/>
          <w:vertAlign w:val="superscript"/>
        </w:rPr>
        <w:t>181</w:t>
      </w:r>
      <w:r w:rsidR="005F40C2" w:rsidRPr="00780D64">
        <w:rPr>
          <w:sz w:val="20"/>
          <w:szCs w:val="20"/>
        </w:rPr>
        <w:t>Hf</w:t>
      </w:r>
      <w:r w:rsidR="00665E56" w:rsidRPr="00780D64">
        <w:rPr>
          <w:sz w:val="20"/>
          <w:szCs w:val="20"/>
        </w:rPr>
        <w:t>,</w:t>
      </w:r>
      <w:r w:rsidR="005F40C2" w:rsidRPr="00780D64">
        <w:rPr>
          <w:sz w:val="20"/>
          <w:szCs w:val="20"/>
        </w:rPr>
        <w:t xml:space="preserve"> </w:t>
      </w:r>
      <w:r w:rsidR="00665E56" w:rsidRPr="00780D64">
        <w:rPr>
          <w:sz w:val="20"/>
          <w:szCs w:val="20"/>
        </w:rPr>
        <w:t xml:space="preserve">đỉnh </w:t>
      </w:r>
      <w:r w:rsidR="005F40C2" w:rsidRPr="00780D64">
        <w:rPr>
          <w:sz w:val="20"/>
          <w:szCs w:val="20"/>
        </w:rPr>
        <w:t>264,7 keV</w:t>
      </w:r>
      <w:r w:rsidR="00665E56" w:rsidRPr="00780D64">
        <w:rPr>
          <w:sz w:val="20"/>
          <w:szCs w:val="20"/>
        </w:rPr>
        <w:t xml:space="preserve"> bị </w:t>
      </w:r>
      <w:r w:rsidRPr="00780D64">
        <w:rPr>
          <w:sz w:val="20"/>
          <w:szCs w:val="20"/>
        </w:rPr>
        <w:t xml:space="preserve">ảnh hưởng </w:t>
      </w:r>
      <w:r w:rsidR="00665E56" w:rsidRPr="00780D64">
        <w:rPr>
          <w:sz w:val="20"/>
          <w:szCs w:val="20"/>
        </w:rPr>
        <w:t>bởi đỉnh</w:t>
      </w:r>
      <w:r w:rsidR="005F40C2" w:rsidRPr="00780D64">
        <w:rPr>
          <w:sz w:val="20"/>
          <w:szCs w:val="20"/>
        </w:rPr>
        <w:t xml:space="preserve"> 264,1 keV của </w:t>
      </w:r>
      <w:r w:rsidR="005F40C2" w:rsidRPr="00780D64">
        <w:rPr>
          <w:sz w:val="20"/>
          <w:szCs w:val="20"/>
          <w:vertAlign w:val="superscript"/>
        </w:rPr>
        <w:t>182</w:t>
      </w:r>
      <w:r w:rsidR="005F40C2" w:rsidRPr="00780D64">
        <w:rPr>
          <w:sz w:val="20"/>
          <w:szCs w:val="20"/>
        </w:rPr>
        <w:t>Ta</w:t>
      </w:r>
      <w:r w:rsidR="00665E56" w:rsidRPr="00780D64">
        <w:rPr>
          <w:sz w:val="20"/>
          <w:szCs w:val="20"/>
        </w:rPr>
        <w:t xml:space="preserve"> và đỉnh</w:t>
      </w:r>
      <w:r w:rsidR="005F40C2" w:rsidRPr="00780D64">
        <w:rPr>
          <w:sz w:val="20"/>
          <w:szCs w:val="20"/>
        </w:rPr>
        <w:t xml:space="preserve"> 279,5 keV bị </w:t>
      </w:r>
      <w:r w:rsidRPr="00780D64">
        <w:rPr>
          <w:sz w:val="20"/>
          <w:szCs w:val="20"/>
        </w:rPr>
        <w:t xml:space="preserve">ảnh hưởng bởi </w:t>
      </w:r>
      <w:r w:rsidR="00665E56" w:rsidRPr="00780D64">
        <w:rPr>
          <w:sz w:val="20"/>
          <w:szCs w:val="20"/>
        </w:rPr>
        <w:t>đỉnh</w:t>
      </w:r>
      <w:r w:rsidR="005F40C2" w:rsidRPr="00780D64">
        <w:rPr>
          <w:sz w:val="20"/>
          <w:szCs w:val="20"/>
        </w:rPr>
        <w:t xml:space="preserve"> 279,1 keV của </w:t>
      </w:r>
      <w:r w:rsidR="005F40C2" w:rsidRPr="00780D64">
        <w:rPr>
          <w:sz w:val="20"/>
          <w:szCs w:val="20"/>
          <w:vertAlign w:val="superscript"/>
        </w:rPr>
        <w:t>203</w:t>
      </w:r>
      <w:r w:rsidR="005F40C2" w:rsidRPr="00780D64">
        <w:rPr>
          <w:sz w:val="20"/>
          <w:szCs w:val="20"/>
        </w:rPr>
        <w:t xml:space="preserve">Hg. </w:t>
      </w:r>
      <w:r w:rsidRPr="00780D64">
        <w:rPr>
          <w:sz w:val="20"/>
          <w:szCs w:val="20"/>
        </w:rPr>
        <w:t>Đ</w:t>
      </w:r>
      <w:r w:rsidR="00665E56" w:rsidRPr="00780D64">
        <w:rPr>
          <w:sz w:val="20"/>
          <w:szCs w:val="20"/>
        </w:rPr>
        <w:t xml:space="preserve">ỉnh </w:t>
      </w:r>
      <w:r w:rsidR="005F40C2" w:rsidRPr="00780D64">
        <w:rPr>
          <w:sz w:val="20"/>
          <w:szCs w:val="20"/>
        </w:rPr>
        <w:t xml:space="preserve">400,7 keV </w:t>
      </w:r>
      <w:r w:rsidRPr="00780D64">
        <w:rPr>
          <w:sz w:val="20"/>
          <w:szCs w:val="20"/>
        </w:rPr>
        <w:t xml:space="preserve">không bị ảnh hưởng nhưng </w:t>
      </w:r>
      <w:r w:rsidR="005F40C2" w:rsidRPr="00780D64">
        <w:rPr>
          <w:sz w:val="20"/>
          <w:szCs w:val="20"/>
        </w:rPr>
        <w:t>xác suất phát rất thấ</w:t>
      </w:r>
      <w:r w:rsidR="00665E56" w:rsidRPr="00780D64">
        <w:rPr>
          <w:sz w:val="20"/>
          <w:szCs w:val="20"/>
        </w:rPr>
        <w:t>p</w:t>
      </w:r>
      <w:r w:rsidRPr="00780D64">
        <w:rPr>
          <w:sz w:val="20"/>
          <w:szCs w:val="20"/>
        </w:rPr>
        <w:t xml:space="preserve"> nên không được sử dụng. </w:t>
      </w:r>
      <w:r w:rsidR="00665E56" w:rsidRPr="00780D64">
        <w:rPr>
          <w:sz w:val="20"/>
          <w:szCs w:val="20"/>
        </w:rPr>
        <w:t>D</w:t>
      </w:r>
      <w:r w:rsidR="00A01BDF" w:rsidRPr="00780D64">
        <w:rPr>
          <w:sz w:val="20"/>
          <w:szCs w:val="20"/>
        </w:rPr>
        <w:t>o đó</w:t>
      </w:r>
      <w:r w:rsidR="009C6A4C" w:rsidRPr="00780D64">
        <w:rPr>
          <w:sz w:val="20"/>
          <w:szCs w:val="20"/>
        </w:rPr>
        <w:t>,</w:t>
      </w:r>
      <w:r w:rsidR="00A01BDF" w:rsidRPr="00780D64">
        <w:rPr>
          <w:sz w:val="20"/>
          <w:szCs w:val="20"/>
        </w:rPr>
        <w:t xml:space="preserve"> </w:t>
      </w:r>
      <w:r w:rsidRPr="00780D64">
        <w:rPr>
          <w:sz w:val="20"/>
          <w:szCs w:val="20"/>
        </w:rPr>
        <w:t xml:space="preserve">kỹ thuật </w:t>
      </w:r>
      <w:r w:rsidR="00A01BDF" w:rsidRPr="00780D64">
        <w:rPr>
          <w:sz w:val="20"/>
          <w:szCs w:val="20"/>
        </w:rPr>
        <w:t xml:space="preserve">tách hóa </w:t>
      </w:r>
      <w:r w:rsidRPr="00780D64">
        <w:rPr>
          <w:sz w:val="20"/>
          <w:szCs w:val="20"/>
        </w:rPr>
        <w:t xml:space="preserve">được sử dụng </w:t>
      </w:r>
      <w:r w:rsidR="00A01BDF" w:rsidRPr="00780D64">
        <w:rPr>
          <w:sz w:val="20"/>
          <w:szCs w:val="20"/>
        </w:rPr>
        <w:t xml:space="preserve">để </w:t>
      </w:r>
      <w:r w:rsidRPr="00780D64">
        <w:rPr>
          <w:sz w:val="20"/>
          <w:szCs w:val="20"/>
        </w:rPr>
        <w:t>loại</w:t>
      </w:r>
      <w:r w:rsidR="00A01BDF" w:rsidRPr="00780D64">
        <w:rPr>
          <w:sz w:val="20"/>
          <w:szCs w:val="20"/>
        </w:rPr>
        <w:t xml:space="preserve"> bỏ các đồng vị ảnh hưởng đến </w:t>
      </w:r>
      <w:r w:rsidRPr="00780D64">
        <w:rPr>
          <w:sz w:val="20"/>
          <w:szCs w:val="20"/>
        </w:rPr>
        <w:t xml:space="preserve">các đỉnh năng lượng gamma của </w:t>
      </w:r>
      <w:r w:rsidRPr="00780D64">
        <w:rPr>
          <w:sz w:val="20"/>
          <w:szCs w:val="20"/>
          <w:vertAlign w:val="superscript"/>
        </w:rPr>
        <w:t>75</w:t>
      </w:r>
      <w:r w:rsidR="00653471" w:rsidRPr="00780D64">
        <w:rPr>
          <w:sz w:val="20"/>
          <w:szCs w:val="20"/>
        </w:rPr>
        <w:t>Se.</w:t>
      </w:r>
      <w:r w:rsidR="00A01BDF" w:rsidRPr="00780D64">
        <w:rPr>
          <w:sz w:val="20"/>
          <w:szCs w:val="20"/>
        </w:rPr>
        <w:t xml:space="preserve"> </w:t>
      </w:r>
      <w:r w:rsidR="005D7E93" w:rsidRPr="00780D64">
        <w:rPr>
          <w:sz w:val="20"/>
          <w:szCs w:val="20"/>
        </w:rPr>
        <w:t xml:space="preserve">Việc tách hóa làm giảm năng suất phân tích, dễ gây nhiễm </w:t>
      </w:r>
      <w:r w:rsidR="005D7E93" w:rsidRPr="00780D64">
        <w:rPr>
          <w:sz w:val="20"/>
          <w:szCs w:val="20"/>
        </w:rPr>
        <w:lastRenderedPageBreak/>
        <w:t xml:space="preserve">bẩn mẫu và tốn kém. Để giải quyết vấn đề này, </w:t>
      </w:r>
      <w:r w:rsidR="00A01BDF" w:rsidRPr="00780D64">
        <w:rPr>
          <w:sz w:val="20"/>
          <w:szCs w:val="20"/>
        </w:rPr>
        <w:t>đồng vị sống ngắn</w:t>
      </w:r>
      <w:r w:rsidR="00AE7605" w:rsidRPr="00780D64">
        <w:rPr>
          <w:sz w:val="20"/>
          <w:szCs w:val="20"/>
        </w:rPr>
        <w:t xml:space="preserve"> </w:t>
      </w:r>
      <w:r w:rsidR="00AE7605" w:rsidRPr="00780D64">
        <w:rPr>
          <w:sz w:val="20"/>
          <w:szCs w:val="20"/>
          <w:vertAlign w:val="superscript"/>
        </w:rPr>
        <w:t>77m</w:t>
      </w:r>
      <w:r w:rsidR="00AE7605" w:rsidRPr="00780D64">
        <w:rPr>
          <w:sz w:val="20"/>
          <w:szCs w:val="20"/>
        </w:rPr>
        <w:t>Se có chu kỳ</w:t>
      </w:r>
      <w:r w:rsidR="00F22D09">
        <w:rPr>
          <w:sz w:val="20"/>
          <w:szCs w:val="20"/>
        </w:rPr>
        <w:t xml:space="preserve"> bán rã 17</w:t>
      </w:r>
      <w:proofErr w:type="gramStart"/>
      <w:r w:rsidR="00F22D09">
        <w:rPr>
          <w:sz w:val="20"/>
          <w:szCs w:val="20"/>
        </w:rPr>
        <w:t>,</w:t>
      </w:r>
      <w:r w:rsidR="00653471" w:rsidRPr="00780D64">
        <w:rPr>
          <w:sz w:val="20"/>
          <w:szCs w:val="20"/>
        </w:rPr>
        <w:t>4</w:t>
      </w:r>
      <w:proofErr w:type="gramEnd"/>
      <w:r w:rsidR="00653471" w:rsidRPr="00780D64">
        <w:rPr>
          <w:sz w:val="20"/>
          <w:szCs w:val="20"/>
        </w:rPr>
        <w:t xml:space="preserve"> giây</w:t>
      </w:r>
      <w:r w:rsidR="008C57E1" w:rsidRPr="00780D64">
        <w:rPr>
          <w:sz w:val="20"/>
          <w:szCs w:val="20"/>
        </w:rPr>
        <w:t xml:space="preserve"> </w:t>
      </w:r>
      <w:r w:rsidR="005D7E93" w:rsidRPr="00780D64">
        <w:rPr>
          <w:sz w:val="20"/>
          <w:szCs w:val="20"/>
        </w:rPr>
        <w:t xml:space="preserve">được sử dụng để phân tích. </w:t>
      </w:r>
      <w:proofErr w:type="gramStart"/>
      <w:r w:rsidR="005D7E93" w:rsidRPr="00780D64">
        <w:rPr>
          <w:sz w:val="20"/>
          <w:szCs w:val="20"/>
        </w:rPr>
        <w:t xml:space="preserve">Khi sử dụng đồng vị này đòi hỏi phải có các hệ phân tích nhanh hoặc phân tích kích hoạt nơtron lặp vòng </w:t>
      </w:r>
      <w:r w:rsidR="00D01473" w:rsidRPr="00780D64">
        <w:rPr>
          <w:sz w:val="20"/>
          <w:szCs w:val="20"/>
        </w:rPr>
        <w:t>[</w:t>
      </w:r>
      <w:r w:rsidR="003861E5" w:rsidRPr="00780D64">
        <w:rPr>
          <w:sz w:val="20"/>
          <w:szCs w:val="20"/>
        </w:rPr>
        <w:t>4</w:t>
      </w:r>
      <w:r w:rsidR="00D01473" w:rsidRPr="00780D64">
        <w:rPr>
          <w:sz w:val="20"/>
          <w:szCs w:val="20"/>
        </w:rPr>
        <w:t xml:space="preserve">, </w:t>
      </w:r>
      <w:r w:rsidR="003861E5" w:rsidRPr="00780D64">
        <w:rPr>
          <w:sz w:val="20"/>
          <w:szCs w:val="20"/>
        </w:rPr>
        <w:t>5</w:t>
      </w:r>
      <w:r w:rsidR="00D01473" w:rsidRPr="00780D64">
        <w:rPr>
          <w:sz w:val="20"/>
          <w:szCs w:val="20"/>
        </w:rPr>
        <w:t>].</w:t>
      </w:r>
      <w:proofErr w:type="gramEnd"/>
      <w:r w:rsidR="00F830DB" w:rsidRPr="00780D64">
        <w:rPr>
          <w:sz w:val="20"/>
          <w:szCs w:val="20"/>
        </w:rPr>
        <w:t xml:space="preserve"> </w:t>
      </w:r>
      <w:proofErr w:type="gramStart"/>
      <w:r w:rsidR="005D7E93" w:rsidRPr="00780D64">
        <w:rPr>
          <w:sz w:val="20"/>
          <w:szCs w:val="20"/>
        </w:rPr>
        <w:t>Đây là những thiết bị tương đối đắt tiền, gắn liền với lò phản ứng và không phải cơ sở nào cũng được trang bị.</w:t>
      </w:r>
      <w:proofErr w:type="gramEnd"/>
    </w:p>
    <w:p w:rsidR="005D7E93" w:rsidRPr="00780D64" w:rsidRDefault="005D7E93" w:rsidP="00C847CB">
      <w:pPr>
        <w:spacing w:before="60" w:after="60" w:line="240" w:lineRule="auto"/>
        <w:ind w:firstLine="426"/>
        <w:jc w:val="both"/>
        <w:rPr>
          <w:sz w:val="20"/>
          <w:szCs w:val="20"/>
        </w:rPr>
      </w:pPr>
      <w:r w:rsidRPr="00780D64">
        <w:rPr>
          <w:sz w:val="20"/>
          <w:szCs w:val="20"/>
        </w:rPr>
        <w:t>Tại Viện nghiên cứu hạt nhân, hệ đo trùng phùng gamma-gamma đã được lắp đặt và ứng dụng trong nghiên cứu cấu trúc hạt nhân và phân tích kích hoạt [</w:t>
      </w:r>
      <w:r w:rsidR="003861E5" w:rsidRPr="00780D64">
        <w:rPr>
          <w:sz w:val="20"/>
          <w:szCs w:val="20"/>
        </w:rPr>
        <w:t>6</w:t>
      </w:r>
      <w:r w:rsidRPr="00780D64">
        <w:rPr>
          <w:sz w:val="20"/>
          <w:szCs w:val="20"/>
        </w:rPr>
        <w:t>]. Nghiên cứu này tiến hành phân tích Se bằng phương pháp phân tích kích hoạt nơtron, sử dụng kỹ thuật đo trùng phùng gamma-gamma ghi “sự kiện-sự kiện”.</w:t>
      </w:r>
    </w:p>
    <w:p w:rsidR="0093089D" w:rsidRPr="002217DC" w:rsidRDefault="002217DC" w:rsidP="00990797">
      <w:pPr>
        <w:spacing w:before="60" w:after="60" w:line="240" w:lineRule="auto"/>
        <w:jc w:val="both"/>
        <w:rPr>
          <w:b/>
          <w:sz w:val="20"/>
          <w:szCs w:val="20"/>
        </w:rPr>
      </w:pPr>
      <w:r>
        <w:rPr>
          <w:b/>
          <w:sz w:val="20"/>
          <w:szCs w:val="20"/>
        </w:rPr>
        <w:t xml:space="preserve">3. </w:t>
      </w:r>
      <w:r w:rsidR="003F64F9" w:rsidRPr="002217DC">
        <w:rPr>
          <w:b/>
          <w:sz w:val="20"/>
          <w:szCs w:val="20"/>
        </w:rPr>
        <w:t>Giải quyết vấn đề</w:t>
      </w:r>
    </w:p>
    <w:p w:rsidR="000265E7" w:rsidRPr="00990797" w:rsidRDefault="00990797" w:rsidP="00990797">
      <w:pPr>
        <w:spacing w:before="60" w:after="60" w:line="240" w:lineRule="auto"/>
        <w:ind w:firstLine="284"/>
        <w:jc w:val="both"/>
        <w:rPr>
          <w:b/>
          <w:sz w:val="20"/>
          <w:szCs w:val="20"/>
        </w:rPr>
      </w:pPr>
      <w:r>
        <w:rPr>
          <w:b/>
          <w:sz w:val="20"/>
          <w:szCs w:val="20"/>
        </w:rPr>
        <w:t xml:space="preserve">3.1. </w:t>
      </w:r>
      <w:r w:rsidR="009E6D47" w:rsidRPr="00990797">
        <w:rPr>
          <w:b/>
          <w:sz w:val="20"/>
          <w:szCs w:val="20"/>
        </w:rPr>
        <w:t>Chuẩn bị mẫu</w:t>
      </w:r>
    </w:p>
    <w:p w:rsidR="00AE7B04" w:rsidRPr="00780D64" w:rsidRDefault="00264CF2" w:rsidP="00C847CB">
      <w:pPr>
        <w:spacing w:before="60" w:after="60" w:line="240" w:lineRule="auto"/>
        <w:ind w:firstLine="360"/>
        <w:jc w:val="both"/>
        <w:rPr>
          <w:sz w:val="20"/>
          <w:szCs w:val="20"/>
        </w:rPr>
      </w:pPr>
      <w:r w:rsidRPr="00780D64">
        <w:rPr>
          <w:sz w:val="20"/>
          <w:szCs w:val="20"/>
        </w:rPr>
        <w:t xml:space="preserve">Mẫu </w:t>
      </w:r>
      <w:r w:rsidR="00167678" w:rsidRPr="00780D64">
        <w:rPr>
          <w:sz w:val="20"/>
          <w:szCs w:val="20"/>
        </w:rPr>
        <w:t xml:space="preserve">thử nghiệm là </w:t>
      </w:r>
      <w:r w:rsidR="000265E7" w:rsidRPr="00780D64">
        <w:rPr>
          <w:sz w:val="20"/>
          <w:szCs w:val="20"/>
        </w:rPr>
        <w:t>Montana II soil</w:t>
      </w:r>
      <w:r w:rsidRPr="00780D64">
        <w:rPr>
          <w:sz w:val="20"/>
          <w:szCs w:val="20"/>
        </w:rPr>
        <w:t xml:space="preserve"> </w:t>
      </w:r>
      <w:r w:rsidR="00463A9A" w:rsidRPr="00780D64">
        <w:rPr>
          <w:sz w:val="20"/>
          <w:szCs w:val="20"/>
        </w:rPr>
        <w:t xml:space="preserve">SRM </w:t>
      </w:r>
      <w:r w:rsidR="008C57E1" w:rsidRPr="00780D64">
        <w:rPr>
          <w:sz w:val="20"/>
          <w:szCs w:val="20"/>
        </w:rPr>
        <w:t>–</w:t>
      </w:r>
      <w:r w:rsidR="00463A9A" w:rsidRPr="00780D64">
        <w:rPr>
          <w:sz w:val="20"/>
          <w:szCs w:val="20"/>
        </w:rPr>
        <w:t xml:space="preserve"> </w:t>
      </w:r>
      <w:proofErr w:type="gramStart"/>
      <w:r w:rsidRPr="00780D64">
        <w:rPr>
          <w:sz w:val="20"/>
          <w:szCs w:val="20"/>
        </w:rPr>
        <w:t>2711</w:t>
      </w:r>
      <w:r w:rsidR="008C57E1" w:rsidRPr="00780D64">
        <w:rPr>
          <w:sz w:val="20"/>
          <w:szCs w:val="20"/>
        </w:rPr>
        <w:t>a</w:t>
      </w:r>
      <w:r w:rsidR="00AC2213" w:rsidRPr="00780D64">
        <w:rPr>
          <w:sz w:val="20"/>
          <w:szCs w:val="20"/>
        </w:rPr>
        <w:t>[</w:t>
      </w:r>
      <w:proofErr w:type="gramEnd"/>
      <w:r w:rsidRPr="00780D64">
        <w:rPr>
          <w:sz w:val="20"/>
          <w:szCs w:val="20"/>
        </w:rPr>
        <w:t>7</w:t>
      </w:r>
      <w:r w:rsidR="00AC2213" w:rsidRPr="00780D64">
        <w:rPr>
          <w:sz w:val="20"/>
          <w:szCs w:val="20"/>
        </w:rPr>
        <w:t>]</w:t>
      </w:r>
      <w:r w:rsidR="00167678" w:rsidRPr="00780D64">
        <w:rPr>
          <w:sz w:val="20"/>
          <w:szCs w:val="20"/>
        </w:rPr>
        <w:t xml:space="preserve">, có khối lượng </w:t>
      </w:r>
      <w:r w:rsidR="00AC2213" w:rsidRPr="00780D64">
        <w:rPr>
          <w:sz w:val="20"/>
          <w:szCs w:val="20"/>
        </w:rPr>
        <w:t xml:space="preserve"> </w:t>
      </w:r>
      <w:r w:rsidR="00F22D09">
        <w:rPr>
          <w:sz w:val="20"/>
          <w:szCs w:val="20"/>
        </w:rPr>
        <w:t>148,</w:t>
      </w:r>
      <w:r w:rsidR="00167678" w:rsidRPr="00780D64">
        <w:rPr>
          <w:sz w:val="20"/>
          <w:szCs w:val="20"/>
        </w:rPr>
        <w:t xml:space="preserve">3mg, được </w:t>
      </w:r>
      <w:r w:rsidR="009E6D47" w:rsidRPr="00780D64">
        <w:rPr>
          <w:sz w:val="20"/>
          <w:szCs w:val="20"/>
        </w:rPr>
        <w:t xml:space="preserve">đựng trong </w:t>
      </w:r>
      <w:r w:rsidR="00807275" w:rsidRPr="00780D64">
        <w:rPr>
          <w:sz w:val="20"/>
          <w:szCs w:val="20"/>
        </w:rPr>
        <w:t>túi nilon sạch</w:t>
      </w:r>
      <w:r w:rsidR="00CC5678" w:rsidRPr="00780D64">
        <w:rPr>
          <w:sz w:val="20"/>
          <w:szCs w:val="20"/>
        </w:rPr>
        <w:t xml:space="preserve"> hàn kín</w:t>
      </w:r>
      <w:r w:rsidR="00167678" w:rsidRPr="00780D64">
        <w:rPr>
          <w:sz w:val="20"/>
          <w:szCs w:val="20"/>
        </w:rPr>
        <w:t>, kí</w:t>
      </w:r>
      <w:r w:rsidR="00AC2213" w:rsidRPr="00780D64">
        <w:rPr>
          <w:sz w:val="20"/>
          <w:szCs w:val="20"/>
        </w:rPr>
        <w:t>ch thước</w:t>
      </w:r>
      <w:r w:rsidR="00CC5678" w:rsidRPr="00780D64">
        <w:rPr>
          <w:sz w:val="20"/>
          <w:szCs w:val="20"/>
        </w:rPr>
        <w:t xml:space="preserve"> </w:t>
      </w:r>
      <w:r w:rsidR="00AC2213" w:rsidRPr="00780D64">
        <w:rPr>
          <w:sz w:val="20"/>
          <w:szCs w:val="20"/>
        </w:rPr>
        <w:t xml:space="preserve">10mm </w:t>
      </w:r>
      <w:r w:rsidR="00167678" w:rsidRPr="00780D64">
        <w:rPr>
          <w:sz w:val="20"/>
          <w:szCs w:val="20"/>
        </w:rPr>
        <w:sym w:font="Symbol" w:char="F0B4"/>
      </w:r>
      <w:r w:rsidR="00AC2213" w:rsidRPr="00780D64">
        <w:rPr>
          <w:sz w:val="20"/>
          <w:szCs w:val="20"/>
        </w:rPr>
        <w:t xml:space="preserve"> 10mm</w:t>
      </w:r>
      <w:r w:rsidR="00167678" w:rsidRPr="00780D64">
        <w:rPr>
          <w:sz w:val="20"/>
          <w:szCs w:val="20"/>
        </w:rPr>
        <w:t xml:space="preserve">. Mẫu sau khi chuẩn bị được đặt trong container nhôm và được chiếu nơtron trong thời gian 10 giờ </w:t>
      </w:r>
      <w:r w:rsidR="00AC2213" w:rsidRPr="00780D64">
        <w:rPr>
          <w:sz w:val="20"/>
          <w:szCs w:val="20"/>
        </w:rPr>
        <w:t xml:space="preserve">tại mâm quay của </w:t>
      </w:r>
      <w:r w:rsidR="00807275" w:rsidRPr="00780D64">
        <w:rPr>
          <w:sz w:val="20"/>
          <w:szCs w:val="20"/>
        </w:rPr>
        <w:t xml:space="preserve">lò phản ứng hạt nhân Đà </w:t>
      </w:r>
      <w:r w:rsidR="00116299" w:rsidRPr="00780D64">
        <w:rPr>
          <w:sz w:val="20"/>
          <w:szCs w:val="20"/>
        </w:rPr>
        <w:t>Lạt</w:t>
      </w:r>
      <w:r w:rsidR="00167678" w:rsidRPr="00780D64">
        <w:rPr>
          <w:sz w:val="20"/>
          <w:szCs w:val="20"/>
        </w:rPr>
        <w:t>. T</w:t>
      </w:r>
      <w:r w:rsidR="00AC2213" w:rsidRPr="00780D64">
        <w:rPr>
          <w:sz w:val="20"/>
          <w:szCs w:val="20"/>
        </w:rPr>
        <w:t xml:space="preserve">hông lượng </w:t>
      </w:r>
      <w:r w:rsidR="00D96E6A" w:rsidRPr="00780D64">
        <w:rPr>
          <w:sz w:val="20"/>
          <w:szCs w:val="20"/>
        </w:rPr>
        <w:t xml:space="preserve">nơtron </w:t>
      </w:r>
      <w:r w:rsidR="00AC2213" w:rsidRPr="00780D64">
        <w:rPr>
          <w:sz w:val="20"/>
          <w:szCs w:val="20"/>
        </w:rPr>
        <w:t>tại vị trí chiếu mẫu</w:t>
      </w:r>
      <w:r w:rsidR="009E6D47" w:rsidRPr="00780D64">
        <w:rPr>
          <w:sz w:val="20"/>
          <w:szCs w:val="20"/>
        </w:rPr>
        <w:t xml:space="preserve"> </w:t>
      </w:r>
      <w:r w:rsidR="00167678" w:rsidRPr="00780D64">
        <w:rPr>
          <w:sz w:val="20"/>
          <w:szCs w:val="20"/>
        </w:rPr>
        <w:t>~</w:t>
      </w:r>
      <w:r w:rsidR="009E6D47" w:rsidRPr="00780D64">
        <w:rPr>
          <w:sz w:val="20"/>
          <w:szCs w:val="20"/>
        </w:rPr>
        <w:t>3</w:t>
      </w:r>
      <w:r w:rsidR="00F22D09">
        <w:rPr>
          <w:sz w:val="20"/>
          <w:szCs w:val="20"/>
        </w:rPr>
        <w:t>,</w:t>
      </w:r>
      <w:r w:rsidR="00D96E6A" w:rsidRPr="00780D64">
        <w:rPr>
          <w:sz w:val="20"/>
          <w:szCs w:val="20"/>
        </w:rPr>
        <w:t>4</w:t>
      </w:r>
      <w:r w:rsidR="00167678" w:rsidRPr="00780D64">
        <w:rPr>
          <w:sz w:val="20"/>
          <w:szCs w:val="20"/>
        </w:rPr>
        <w:sym w:font="Symbol" w:char="F0B4"/>
      </w:r>
      <w:r w:rsidR="00D96E6A" w:rsidRPr="00780D64">
        <w:rPr>
          <w:sz w:val="20"/>
          <w:szCs w:val="20"/>
        </w:rPr>
        <w:t>10</w:t>
      </w:r>
      <w:r w:rsidR="00D96E6A" w:rsidRPr="00780D64">
        <w:rPr>
          <w:sz w:val="20"/>
          <w:szCs w:val="20"/>
          <w:vertAlign w:val="superscript"/>
        </w:rPr>
        <w:t>13</w:t>
      </w:r>
      <w:r w:rsidR="00D96E6A" w:rsidRPr="00780D64">
        <w:rPr>
          <w:sz w:val="20"/>
          <w:szCs w:val="20"/>
        </w:rPr>
        <w:t>n/cm</w:t>
      </w:r>
      <w:r w:rsidR="00D96E6A" w:rsidRPr="00780D64">
        <w:rPr>
          <w:sz w:val="20"/>
          <w:szCs w:val="20"/>
          <w:vertAlign w:val="superscript"/>
        </w:rPr>
        <w:t>2</w:t>
      </w:r>
      <w:r w:rsidR="00167678" w:rsidRPr="00780D64">
        <w:rPr>
          <w:sz w:val="20"/>
          <w:szCs w:val="20"/>
        </w:rPr>
        <w:t>.</w:t>
      </w:r>
      <w:r w:rsidR="00D96E6A" w:rsidRPr="00780D64">
        <w:rPr>
          <w:sz w:val="20"/>
          <w:szCs w:val="20"/>
        </w:rPr>
        <w:t>s</w:t>
      </w:r>
      <w:r w:rsidR="00807275" w:rsidRPr="00780D64">
        <w:rPr>
          <w:sz w:val="20"/>
          <w:szCs w:val="20"/>
        </w:rPr>
        <w:t>.</w:t>
      </w:r>
      <w:r w:rsidR="00AE7B04" w:rsidRPr="00780D64">
        <w:rPr>
          <w:sz w:val="20"/>
          <w:szCs w:val="20"/>
        </w:rPr>
        <w:t xml:space="preserve"> Mẫu sau khi chiếu </w:t>
      </w:r>
      <w:r w:rsidR="00D96E6A" w:rsidRPr="00780D64">
        <w:rPr>
          <w:sz w:val="20"/>
          <w:szCs w:val="20"/>
        </w:rPr>
        <w:t xml:space="preserve">được để rã với thời gian </w:t>
      </w:r>
      <w:r w:rsidR="00F22D09">
        <w:rPr>
          <w:sz w:val="20"/>
          <w:szCs w:val="20"/>
        </w:rPr>
        <w:t>6</w:t>
      </w:r>
      <w:r w:rsidR="000B398F" w:rsidRPr="00780D64">
        <w:rPr>
          <w:sz w:val="20"/>
          <w:szCs w:val="20"/>
        </w:rPr>
        <w:t>0 ngày</w:t>
      </w:r>
      <w:r w:rsidR="00AE7B04" w:rsidRPr="00780D64">
        <w:rPr>
          <w:sz w:val="20"/>
          <w:szCs w:val="20"/>
        </w:rPr>
        <w:t xml:space="preserve"> và được đo trên hệ phổ kế trùng phùng gamma ghi sự kiện-sự kiện của Viện NCHN trong chế độ thường và trùng phùng.</w:t>
      </w:r>
      <w:r w:rsidR="00FD7869" w:rsidRPr="00780D64">
        <w:rPr>
          <w:sz w:val="20"/>
          <w:szCs w:val="20"/>
        </w:rPr>
        <w:t xml:space="preserve"> Cấu hình hệ đo và thí nghiệm được mô tả trên hình 1.</w:t>
      </w:r>
    </w:p>
    <w:p w:rsidR="006123FC" w:rsidRPr="00780D64" w:rsidRDefault="003F64F9" w:rsidP="00990797">
      <w:pPr>
        <w:spacing w:before="60" w:after="60" w:line="240" w:lineRule="auto"/>
        <w:ind w:firstLine="284"/>
        <w:jc w:val="both"/>
        <w:rPr>
          <w:b/>
          <w:sz w:val="20"/>
          <w:szCs w:val="20"/>
        </w:rPr>
      </w:pPr>
      <w:r>
        <w:rPr>
          <w:b/>
          <w:sz w:val="20"/>
          <w:szCs w:val="20"/>
        </w:rPr>
        <w:t>3</w:t>
      </w:r>
      <w:r w:rsidR="006123FC" w:rsidRPr="00780D64">
        <w:rPr>
          <w:b/>
          <w:sz w:val="20"/>
          <w:szCs w:val="20"/>
        </w:rPr>
        <w:t xml:space="preserve">.2. </w:t>
      </w:r>
      <w:r w:rsidR="00DA41CF" w:rsidRPr="00780D64">
        <w:rPr>
          <w:b/>
          <w:sz w:val="20"/>
          <w:szCs w:val="20"/>
        </w:rPr>
        <w:t>Cấu hình thí</w:t>
      </w:r>
      <w:r w:rsidR="00BD6B8B" w:rsidRPr="00780D64">
        <w:rPr>
          <w:b/>
          <w:sz w:val="20"/>
          <w:szCs w:val="20"/>
        </w:rPr>
        <w:t xml:space="preserve"> nghiệm</w:t>
      </w:r>
    </w:p>
    <w:p w:rsidR="009021A8" w:rsidRPr="00780D64" w:rsidRDefault="00C75F0D" w:rsidP="00C847CB">
      <w:pPr>
        <w:spacing w:before="60" w:after="60" w:line="240" w:lineRule="auto"/>
        <w:jc w:val="center"/>
        <w:rPr>
          <w:sz w:val="20"/>
          <w:szCs w:val="20"/>
        </w:rPr>
      </w:pPr>
      <w:r w:rsidRPr="00780D64">
        <w:rPr>
          <w:noProof/>
          <w:sz w:val="20"/>
          <w:szCs w:val="20"/>
        </w:rPr>
        <w:drawing>
          <wp:inline distT="0" distB="0" distL="0" distR="0">
            <wp:extent cx="298132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1333500"/>
                    </a:xfrm>
                    <a:prstGeom prst="rect">
                      <a:avLst/>
                    </a:prstGeom>
                    <a:noFill/>
                    <a:ln>
                      <a:noFill/>
                    </a:ln>
                  </pic:spPr>
                </pic:pic>
              </a:graphicData>
            </a:graphic>
          </wp:inline>
        </w:drawing>
      </w:r>
    </w:p>
    <w:p w:rsidR="009021A8" w:rsidRPr="00780D64" w:rsidRDefault="00355187" w:rsidP="00C847CB">
      <w:pPr>
        <w:spacing w:before="60" w:after="60" w:line="240" w:lineRule="auto"/>
        <w:jc w:val="center"/>
        <w:rPr>
          <w:sz w:val="20"/>
          <w:szCs w:val="20"/>
        </w:rPr>
      </w:pPr>
      <w:proofErr w:type="gramStart"/>
      <w:r w:rsidRPr="00780D64">
        <w:rPr>
          <w:sz w:val="20"/>
          <w:szCs w:val="20"/>
        </w:rPr>
        <w:t xml:space="preserve">Hình </w:t>
      </w:r>
      <w:r w:rsidR="009021A8" w:rsidRPr="00780D64">
        <w:rPr>
          <w:sz w:val="20"/>
          <w:szCs w:val="20"/>
        </w:rPr>
        <w:t>1</w:t>
      </w:r>
      <w:r w:rsidR="009021A8" w:rsidRPr="00780D64">
        <w:rPr>
          <w:b/>
          <w:sz w:val="20"/>
          <w:szCs w:val="20"/>
        </w:rPr>
        <w:t>.</w:t>
      </w:r>
      <w:proofErr w:type="gramEnd"/>
      <w:r w:rsidR="009021A8" w:rsidRPr="00780D64">
        <w:rPr>
          <w:b/>
          <w:sz w:val="20"/>
          <w:szCs w:val="20"/>
        </w:rPr>
        <w:t xml:space="preserve"> </w:t>
      </w:r>
      <w:r w:rsidR="009021A8" w:rsidRPr="00780D64">
        <w:rPr>
          <w:sz w:val="20"/>
          <w:szCs w:val="20"/>
        </w:rPr>
        <w:t xml:space="preserve">Hệ </w:t>
      </w:r>
      <w:r w:rsidR="00BD6B8B" w:rsidRPr="00780D64">
        <w:rPr>
          <w:sz w:val="20"/>
          <w:szCs w:val="20"/>
        </w:rPr>
        <w:t>đo và bố trí thí nghiệm</w:t>
      </w:r>
      <w:r w:rsidR="006123FC" w:rsidRPr="00780D64">
        <w:rPr>
          <w:sz w:val="20"/>
          <w:szCs w:val="20"/>
        </w:rPr>
        <w:t>.</w:t>
      </w:r>
    </w:p>
    <w:p w:rsidR="005112A2" w:rsidRPr="00780D64" w:rsidRDefault="007B38FC" w:rsidP="00574EF6">
      <w:pPr>
        <w:spacing w:before="60" w:after="60" w:line="240" w:lineRule="auto"/>
        <w:ind w:firstLine="284"/>
        <w:jc w:val="both"/>
        <w:rPr>
          <w:spacing w:val="-2"/>
          <w:sz w:val="20"/>
          <w:szCs w:val="20"/>
        </w:rPr>
      </w:pPr>
      <w:r w:rsidRPr="00780D64">
        <w:rPr>
          <w:sz w:val="20"/>
          <w:szCs w:val="20"/>
        </w:rPr>
        <w:t xml:space="preserve">Trong đó: HPGe I và HPGe II là hai đetectơ bán dẫn </w:t>
      </w:r>
      <w:r w:rsidR="00BD6B8B" w:rsidRPr="00780D64">
        <w:rPr>
          <w:sz w:val="20"/>
          <w:szCs w:val="20"/>
        </w:rPr>
        <w:t>GMX35</w:t>
      </w:r>
      <w:r w:rsidR="00815954" w:rsidRPr="00780D64">
        <w:rPr>
          <w:sz w:val="20"/>
          <w:szCs w:val="20"/>
        </w:rPr>
        <w:t xml:space="preserve">, đetectơ I có hiệu suất tương đối </w:t>
      </w:r>
      <w:r w:rsidR="00DF0203" w:rsidRPr="00780D64">
        <w:rPr>
          <w:sz w:val="20"/>
          <w:szCs w:val="20"/>
        </w:rPr>
        <w:t xml:space="preserve">thực tế là </w:t>
      </w:r>
      <w:r w:rsidR="00815954" w:rsidRPr="00780D64">
        <w:rPr>
          <w:sz w:val="20"/>
          <w:szCs w:val="20"/>
        </w:rPr>
        <w:t>3</w:t>
      </w:r>
      <w:r w:rsidR="00BD6B8B" w:rsidRPr="00780D64">
        <w:rPr>
          <w:sz w:val="20"/>
          <w:szCs w:val="20"/>
        </w:rPr>
        <w:t>5</w:t>
      </w:r>
      <w:r w:rsidR="00815954" w:rsidRPr="00780D64">
        <w:rPr>
          <w:sz w:val="20"/>
          <w:szCs w:val="20"/>
        </w:rPr>
        <w:t>%</w:t>
      </w:r>
      <w:r w:rsidR="00DF0203" w:rsidRPr="00780D64">
        <w:rPr>
          <w:sz w:val="20"/>
          <w:szCs w:val="20"/>
        </w:rPr>
        <w:t xml:space="preserve">, </w:t>
      </w:r>
      <w:r w:rsidR="00815954" w:rsidRPr="00780D64">
        <w:rPr>
          <w:sz w:val="20"/>
          <w:szCs w:val="20"/>
        </w:rPr>
        <w:t>độ phân giả</w:t>
      </w:r>
      <w:r w:rsidR="00F22D09">
        <w:rPr>
          <w:sz w:val="20"/>
          <w:szCs w:val="20"/>
        </w:rPr>
        <w:t>i 1,</w:t>
      </w:r>
      <w:r w:rsidR="00DF0203" w:rsidRPr="00780D64">
        <w:rPr>
          <w:sz w:val="20"/>
          <w:szCs w:val="20"/>
        </w:rPr>
        <w:t xml:space="preserve">9 </w:t>
      </w:r>
      <w:r w:rsidR="00815954" w:rsidRPr="00780D64">
        <w:rPr>
          <w:sz w:val="20"/>
          <w:szCs w:val="20"/>
        </w:rPr>
        <w:t xml:space="preserve">keV tại đỉnh 1332 keV, đetectơ II có hiệu suất tương đối </w:t>
      </w:r>
      <w:r w:rsidR="00DF0203" w:rsidRPr="00780D64">
        <w:rPr>
          <w:sz w:val="20"/>
          <w:szCs w:val="20"/>
        </w:rPr>
        <w:t xml:space="preserve">thực tế là </w:t>
      </w:r>
      <w:r w:rsidR="00815954" w:rsidRPr="00780D64">
        <w:rPr>
          <w:sz w:val="20"/>
          <w:szCs w:val="20"/>
        </w:rPr>
        <w:t>3</w:t>
      </w:r>
      <w:r w:rsidR="00BD6B8B" w:rsidRPr="00780D64">
        <w:rPr>
          <w:sz w:val="20"/>
          <w:szCs w:val="20"/>
        </w:rPr>
        <w:t>8</w:t>
      </w:r>
      <w:r w:rsidR="00815954" w:rsidRPr="00780D64">
        <w:rPr>
          <w:sz w:val="20"/>
          <w:szCs w:val="20"/>
        </w:rPr>
        <w:t>% và độ phân giả</w:t>
      </w:r>
      <w:r w:rsidR="00F22D09">
        <w:rPr>
          <w:sz w:val="20"/>
          <w:szCs w:val="20"/>
        </w:rPr>
        <w:t>i 1,</w:t>
      </w:r>
      <w:r w:rsidR="00815954" w:rsidRPr="00780D64">
        <w:rPr>
          <w:sz w:val="20"/>
          <w:szCs w:val="20"/>
        </w:rPr>
        <w:t>9 keV tại đỉnh 1332 keV.</w:t>
      </w:r>
      <w:r w:rsidRPr="00780D64">
        <w:rPr>
          <w:sz w:val="20"/>
          <w:szCs w:val="20"/>
        </w:rPr>
        <w:t xml:space="preserve"> </w:t>
      </w:r>
    </w:p>
    <w:p w:rsidR="00DF0203" w:rsidRPr="00780D64" w:rsidRDefault="005112A2" w:rsidP="00574EF6">
      <w:pPr>
        <w:spacing w:before="60" w:after="60" w:line="240" w:lineRule="auto"/>
        <w:ind w:firstLine="284"/>
        <w:jc w:val="both"/>
        <w:rPr>
          <w:spacing w:val="-2"/>
          <w:sz w:val="20"/>
          <w:szCs w:val="20"/>
        </w:rPr>
      </w:pPr>
      <w:r w:rsidRPr="00780D64">
        <w:rPr>
          <w:spacing w:val="-2"/>
          <w:sz w:val="20"/>
          <w:szCs w:val="20"/>
        </w:rPr>
        <w:t xml:space="preserve">Mẫu </w:t>
      </w:r>
      <w:r w:rsidR="00DF0203" w:rsidRPr="00780D64">
        <w:rPr>
          <w:spacing w:val="-2"/>
          <w:sz w:val="20"/>
          <w:szCs w:val="20"/>
        </w:rPr>
        <w:t xml:space="preserve">đo </w:t>
      </w:r>
      <w:r w:rsidRPr="00780D64">
        <w:rPr>
          <w:spacing w:val="-2"/>
          <w:sz w:val="20"/>
          <w:szCs w:val="20"/>
        </w:rPr>
        <w:t xml:space="preserve">được đặt giữa </w:t>
      </w:r>
      <w:r w:rsidR="00DF0203" w:rsidRPr="00780D64">
        <w:rPr>
          <w:spacing w:val="-2"/>
          <w:sz w:val="20"/>
          <w:szCs w:val="20"/>
        </w:rPr>
        <w:t xml:space="preserve">hai đetectơ, </w:t>
      </w:r>
      <w:r w:rsidR="00B95711" w:rsidRPr="00780D64">
        <w:rPr>
          <w:spacing w:val="-2"/>
          <w:sz w:val="20"/>
          <w:szCs w:val="20"/>
        </w:rPr>
        <w:t>song song</w:t>
      </w:r>
      <w:r w:rsidR="00DF0203" w:rsidRPr="00780D64">
        <w:rPr>
          <w:spacing w:val="-2"/>
          <w:sz w:val="20"/>
          <w:szCs w:val="20"/>
        </w:rPr>
        <w:t xml:space="preserve"> với mặt </w:t>
      </w:r>
      <w:r w:rsidRPr="00780D64">
        <w:rPr>
          <w:spacing w:val="-2"/>
          <w:sz w:val="20"/>
          <w:szCs w:val="20"/>
        </w:rPr>
        <w:t>của các đetectơ</w:t>
      </w:r>
      <w:r w:rsidR="00DF0203" w:rsidRPr="00780D64">
        <w:rPr>
          <w:spacing w:val="-2"/>
          <w:sz w:val="20"/>
          <w:szCs w:val="20"/>
        </w:rPr>
        <w:t>, k</w:t>
      </w:r>
      <w:r w:rsidRPr="00780D64">
        <w:rPr>
          <w:spacing w:val="-2"/>
          <w:sz w:val="20"/>
          <w:szCs w:val="20"/>
        </w:rPr>
        <w:t>hoảng cách từ mẫu tớ</w:t>
      </w:r>
      <w:r w:rsidR="00DF0203" w:rsidRPr="00780D64">
        <w:rPr>
          <w:spacing w:val="-2"/>
          <w:sz w:val="20"/>
          <w:szCs w:val="20"/>
        </w:rPr>
        <w:t>i mỗi</w:t>
      </w:r>
      <w:r w:rsidRPr="00780D64">
        <w:rPr>
          <w:spacing w:val="-2"/>
          <w:sz w:val="20"/>
          <w:szCs w:val="20"/>
        </w:rPr>
        <w:t xml:space="preserve"> đetectơ là 4cm.</w:t>
      </w:r>
      <w:r w:rsidR="00DF0203" w:rsidRPr="00780D64">
        <w:rPr>
          <w:spacing w:val="-2"/>
          <w:sz w:val="20"/>
          <w:szCs w:val="20"/>
        </w:rPr>
        <w:t xml:space="preserve"> Các tham số của hệ đo được đặt theo</w:t>
      </w:r>
      <w:r w:rsidR="007A0DBB" w:rsidRPr="00780D64">
        <w:rPr>
          <w:spacing w:val="-2"/>
          <w:sz w:val="20"/>
          <w:szCs w:val="20"/>
        </w:rPr>
        <w:t xml:space="preserve"> phương pháp trong</w:t>
      </w:r>
      <w:r w:rsidR="00DF0203" w:rsidRPr="00780D64">
        <w:rPr>
          <w:spacing w:val="-2"/>
          <w:sz w:val="20"/>
          <w:szCs w:val="20"/>
        </w:rPr>
        <w:t xml:space="preserve"> tài liệu tham khả</w:t>
      </w:r>
      <w:r w:rsidR="00000EF9">
        <w:rPr>
          <w:spacing w:val="-2"/>
          <w:sz w:val="20"/>
          <w:szCs w:val="20"/>
        </w:rPr>
        <w:t>o</w:t>
      </w:r>
      <w:r w:rsidR="00DF0203" w:rsidRPr="00780D64">
        <w:rPr>
          <w:spacing w:val="-2"/>
          <w:sz w:val="20"/>
          <w:szCs w:val="20"/>
        </w:rPr>
        <w:t xml:space="preserve"> </w:t>
      </w:r>
      <w:r w:rsidR="00000EF9">
        <w:rPr>
          <w:spacing w:val="-2"/>
          <w:sz w:val="20"/>
          <w:szCs w:val="20"/>
        </w:rPr>
        <w:t>[</w:t>
      </w:r>
      <w:r w:rsidR="003861E5" w:rsidRPr="00780D64">
        <w:rPr>
          <w:spacing w:val="-2"/>
          <w:sz w:val="20"/>
          <w:szCs w:val="20"/>
        </w:rPr>
        <w:t>6</w:t>
      </w:r>
      <w:r w:rsidR="00000EF9">
        <w:rPr>
          <w:spacing w:val="-2"/>
          <w:sz w:val="20"/>
          <w:szCs w:val="20"/>
        </w:rPr>
        <w:t>]</w:t>
      </w:r>
      <w:r w:rsidR="00DF0203" w:rsidRPr="00780D64">
        <w:rPr>
          <w:spacing w:val="-2"/>
          <w:sz w:val="20"/>
          <w:szCs w:val="20"/>
        </w:rPr>
        <w:t>.</w:t>
      </w:r>
    </w:p>
    <w:p w:rsidR="00DF0203" w:rsidRPr="00780D64" w:rsidRDefault="00DF0203" w:rsidP="00C847CB">
      <w:pPr>
        <w:spacing w:before="60" w:after="60" w:line="240" w:lineRule="auto"/>
        <w:jc w:val="both"/>
        <w:rPr>
          <w:spacing w:val="-2"/>
          <w:sz w:val="20"/>
          <w:szCs w:val="20"/>
        </w:rPr>
      </w:pPr>
      <w:r w:rsidRPr="00780D64">
        <w:rPr>
          <w:spacing w:val="-2"/>
          <w:sz w:val="20"/>
          <w:szCs w:val="20"/>
        </w:rPr>
        <w:lastRenderedPageBreak/>
        <w:t xml:space="preserve">Ở chế độ thường mẫu được đo trong </w:t>
      </w:r>
      <w:r w:rsidR="00B95711" w:rsidRPr="00780D64">
        <w:rPr>
          <w:spacing w:val="-2"/>
          <w:sz w:val="20"/>
          <w:szCs w:val="20"/>
        </w:rPr>
        <w:t>thời gian 4</w:t>
      </w:r>
      <w:proofErr w:type="gramStart"/>
      <w:r w:rsidR="00B95711" w:rsidRPr="00780D64">
        <w:rPr>
          <w:spacing w:val="-2"/>
          <w:sz w:val="20"/>
          <w:szCs w:val="20"/>
        </w:rPr>
        <w:t>,28</w:t>
      </w:r>
      <w:proofErr w:type="gramEnd"/>
      <w:r w:rsidR="00B95711" w:rsidRPr="00780D64">
        <w:rPr>
          <w:spacing w:val="-2"/>
          <w:sz w:val="20"/>
          <w:szCs w:val="20"/>
        </w:rPr>
        <w:t xml:space="preserve"> giờ</w:t>
      </w:r>
      <w:r w:rsidRPr="00780D64">
        <w:rPr>
          <w:spacing w:val="-2"/>
          <w:sz w:val="20"/>
          <w:szCs w:val="20"/>
        </w:rPr>
        <w:t>.</w:t>
      </w:r>
    </w:p>
    <w:p w:rsidR="00DF0203" w:rsidRPr="00780D64" w:rsidRDefault="00DF0203" w:rsidP="00C847CB">
      <w:pPr>
        <w:spacing w:before="60" w:after="60" w:line="240" w:lineRule="auto"/>
        <w:jc w:val="both"/>
        <w:rPr>
          <w:spacing w:val="-2"/>
          <w:sz w:val="20"/>
          <w:szCs w:val="20"/>
        </w:rPr>
      </w:pPr>
      <w:r w:rsidRPr="00780D64">
        <w:rPr>
          <w:spacing w:val="-2"/>
          <w:sz w:val="20"/>
          <w:szCs w:val="20"/>
        </w:rPr>
        <w:t xml:space="preserve">Ở chế độ trùng phùng, mẫu được đo trong </w:t>
      </w:r>
      <w:r w:rsidR="00B95711" w:rsidRPr="00780D64">
        <w:rPr>
          <w:spacing w:val="-2"/>
          <w:sz w:val="20"/>
          <w:szCs w:val="20"/>
        </w:rPr>
        <w:t xml:space="preserve">thời gian 100 </w:t>
      </w:r>
      <w:r w:rsidRPr="00780D64">
        <w:rPr>
          <w:spacing w:val="-2"/>
          <w:sz w:val="20"/>
          <w:szCs w:val="20"/>
        </w:rPr>
        <w:t xml:space="preserve">giờ. </w:t>
      </w:r>
    </w:p>
    <w:p w:rsidR="00DF0203" w:rsidRPr="00780D64" w:rsidRDefault="00DF0203" w:rsidP="00C847CB">
      <w:pPr>
        <w:spacing w:before="60" w:after="60" w:line="240" w:lineRule="auto"/>
        <w:jc w:val="both"/>
        <w:rPr>
          <w:sz w:val="20"/>
          <w:szCs w:val="20"/>
        </w:rPr>
      </w:pPr>
      <w:r w:rsidRPr="00780D64">
        <w:rPr>
          <w:sz w:val="20"/>
          <w:szCs w:val="20"/>
        </w:rPr>
        <w:t xml:space="preserve">Số liệu được lưu trữ trên đĩa cứng và xử lý </w:t>
      </w:r>
      <w:proofErr w:type="gramStart"/>
      <w:r w:rsidRPr="00780D64">
        <w:rPr>
          <w:sz w:val="20"/>
          <w:szCs w:val="20"/>
        </w:rPr>
        <w:t>theo</w:t>
      </w:r>
      <w:proofErr w:type="gramEnd"/>
      <w:r w:rsidRPr="00780D64">
        <w:rPr>
          <w:sz w:val="20"/>
          <w:szCs w:val="20"/>
        </w:rPr>
        <w:t xml:space="preserve"> phương pháp trùng phùng sự kiện-sự kiện.</w:t>
      </w:r>
    </w:p>
    <w:p w:rsidR="00217AE5" w:rsidRPr="00780D64" w:rsidRDefault="003F64F9" w:rsidP="00990797">
      <w:pPr>
        <w:spacing w:before="60" w:after="60" w:line="240" w:lineRule="auto"/>
        <w:ind w:firstLine="284"/>
        <w:jc w:val="both"/>
        <w:rPr>
          <w:b/>
          <w:sz w:val="20"/>
          <w:szCs w:val="20"/>
        </w:rPr>
      </w:pPr>
      <w:r>
        <w:rPr>
          <w:b/>
          <w:sz w:val="20"/>
          <w:szCs w:val="20"/>
        </w:rPr>
        <w:t>3</w:t>
      </w:r>
      <w:r w:rsidR="001778E1" w:rsidRPr="00780D64">
        <w:rPr>
          <w:b/>
          <w:sz w:val="20"/>
          <w:szCs w:val="20"/>
        </w:rPr>
        <w:t xml:space="preserve">.3 </w:t>
      </w:r>
      <w:r w:rsidR="005112A2" w:rsidRPr="00780D64">
        <w:rPr>
          <w:b/>
          <w:sz w:val="20"/>
          <w:szCs w:val="20"/>
        </w:rPr>
        <w:t>Xử lí số liệu</w:t>
      </w:r>
    </w:p>
    <w:p w:rsidR="003F41EA" w:rsidRPr="00780D64" w:rsidRDefault="0076347E" w:rsidP="00C847CB">
      <w:pPr>
        <w:spacing w:before="60" w:after="60" w:line="240" w:lineRule="auto"/>
        <w:jc w:val="both"/>
        <w:rPr>
          <w:spacing w:val="-2"/>
          <w:sz w:val="20"/>
          <w:szCs w:val="20"/>
        </w:rPr>
      </w:pPr>
      <w:r w:rsidRPr="00780D64">
        <w:rPr>
          <w:spacing w:val="-2"/>
          <w:sz w:val="20"/>
          <w:szCs w:val="20"/>
        </w:rPr>
        <w:tab/>
      </w:r>
      <w:r w:rsidR="00206B8C" w:rsidRPr="00780D64">
        <w:rPr>
          <w:spacing w:val="-2"/>
          <w:sz w:val="20"/>
          <w:szCs w:val="20"/>
        </w:rPr>
        <w:t xml:space="preserve">Phổ đo trong chế độ đo đơn kênh thông thường, để tách diện tích các đỉnh của </w:t>
      </w:r>
      <w:r w:rsidR="00206B8C" w:rsidRPr="00780D64">
        <w:rPr>
          <w:spacing w:val="-2"/>
          <w:sz w:val="20"/>
          <w:szCs w:val="20"/>
          <w:vertAlign w:val="superscript"/>
        </w:rPr>
        <w:t>75</w:t>
      </w:r>
      <w:r w:rsidR="00206B8C" w:rsidRPr="00780D64">
        <w:rPr>
          <w:spacing w:val="-2"/>
          <w:sz w:val="20"/>
          <w:szCs w:val="20"/>
        </w:rPr>
        <w:t xml:space="preserve">Se ra khỏi sự ảnh hưởng của các đồng vị </w:t>
      </w:r>
      <w:r w:rsidR="00944F09" w:rsidRPr="00780D64">
        <w:rPr>
          <w:spacing w:val="-2"/>
          <w:sz w:val="20"/>
          <w:szCs w:val="20"/>
          <w:vertAlign w:val="superscript"/>
        </w:rPr>
        <w:t>152</w:t>
      </w:r>
      <w:r w:rsidR="00944F09" w:rsidRPr="00780D64">
        <w:rPr>
          <w:spacing w:val="-2"/>
          <w:sz w:val="20"/>
          <w:szCs w:val="20"/>
        </w:rPr>
        <w:t xml:space="preserve">Eu, </w:t>
      </w:r>
      <w:r w:rsidR="00944F09" w:rsidRPr="00780D64">
        <w:rPr>
          <w:spacing w:val="-2"/>
          <w:sz w:val="20"/>
          <w:szCs w:val="20"/>
          <w:vertAlign w:val="superscript"/>
        </w:rPr>
        <w:t>181</w:t>
      </w:r>
      <w:r w:rsidR="00944F09" w:rsidRPr="00780D64">
        <w:rPr>
          <w:spacing w:val="-2"/>
          <w:sz w:val="20"/>
          <w:szCs w:val="20"/>
        </w:rPr>
        <w:t xml:space="preserve">Hf, </w:t>
      </w:r>
      <w:r w:rsidR="00944F09" w:rsidRPr="00780D64">
        <w:rPr>
          <w:spacing w:val="-2"/>
          <w:sz w:val="20"/>
          <w:szCs w:val="20"/>
          <w:vertAlign w:val="superscript"/>
        </w:rPr>
        <w:t>182</w:t>
      </w:r>
      <w:r w:rsidR="00944F09" w:rsidRPr="00780D64">
        <w:rPr>
          <w:spacing w:val="-2"/>
          <w:sz w:val="20"/>
          <w:szCs w:val="20"/>
        </w:rPr>
        <w:t xml:space="preserve">Ta </w:t>
      </w:r>
      <w:r w:rsidR="00206B8C" w:rsidRPr="00780D64">
        <w:rPr>
          <w:spacing w:val="-2"/>
          <w:sz w:val="20"/>
          <w:szCs w:val="20"/>
        </w:rPr>
        <w:t xml:space="preserve">trong mẫu, tỉ lệ hàm lượng và diện tích của các đỉnh phụ </w:t>
      </w:r>
      <w:proofErr w:type="gramStart"/>
      <w:r w:rsidR="00206B8C" w:rsidRPr="00780D64">
        <w:rPr>
          <w:spacing w:val="-2"/>
          <w:sz w:val="20"/>
          <w:szCs w:val="20"/>
        </w:rPr>
        <w:t>thu</w:t>
      </w:r>
      <w:proofErr w:type="gramEnd"/>
      <w:r w:rsidR="00206B8C" w:rsidRPr="00780D64">
        <w:rPr>
          <w:spacing w:val="-2"/>
          <w:sz w:val="20"/>
          <w:szCs w:val="20"/>
        </w:rPr>
        <w:t xml:space="preserve"> được đã được sử dụng để hiệu chỉnh. Đ</w:t>
      </w:r>
      <w:r w:rsidR="00944F09" w:rsidRPr="00780D64">
        <w:rPr>
          <w:spacing w:val="-2"/>
          <w:sz w:val="20"/>
          <w:szCs w:val="20"/>
        </w:rPr>
        <w:t xml:space="preserve">ỉnh 1048 keV của </w:t>
      </w:r>
      <w:r w:rsidR="00944F09" w:rsidRPr="00780D64">
        <w:rPr>
          <w:spacing w:val="-2"/>
          <w:sz w:val="20"/>
          <w:szCs w:val="20"/>
          <w:vertAlign w:val="superscript"/>
        </w:rPr>
        <w:t>152</w:t>
      </w:r>
      <w:r w:rsidR="00944F09" w:rsidRPr="00780D64">
        <w:rPr>
          <w:spacing w:val="-2"/>
          <w:sz w:val="20"/>
          <w:szCs w:val="20"/>
        </w:rPr>
        <w:t>Eu đ</w:t>
      </w:r>
      <w:r w:rsidR="00206B8C" w:rsidRPr="00780D64">
        <w:rPr>
          <w:spacing w:val="-2"/>
          <w:sz w:val="20"/>
          <w:szCs w:val="20"/>
        </w:rPr>
        <w:t xml:space="preserve">ược sử dụng để đánh giá mức độ đóng góp của </w:t>
      </w:r>
      <w:r w:rsidR="00206B8C" w:rsidRPr="00780D64">
        <w:rPr>
          <w:spacing w:val="-2"/>
          <w:sz w:val="20"/>
          <w:szCs w:val="20"/>
          <w:vertAlign w:val="superscript"/>
        </w:rPr>
        <w:t>152</w:t>
      </w:r>
      <w:r w:rsidR="00206B8C" w:rsidRPr="00780D64">
        <w:rPr>
          <w:spacing w:val="-2"/>
          <w:sz w:val="20"/>
          <w:szCs w:val="20"/>
        </w:rPr>
        <w:t xml:space="preserve">Eu vào </w:t>
      </w:r>
      <w:r w:rsidR="007A49FE" w:rsidRPr="00780D64">
        <w:rPr>
          <w:spacing w:val="-2"/>
          <w:sz w:val="20"/>
          <w:szCs w:val="20"/>
        </w:rPr>
        <w:t>đỉnh 121 keV</w:t>
      </w:r>
      <w:r w:rsidR="00206B8C" w:rsidRPr="00780D64">
        <w:rPr>
          <w:spacing w:val="-2"/>
          <w:sz w:val="20"/>
          <w:szCs w:val="20"/>
        </w:rPr>
        <w:t xml:space="preserve"> của </w:t>
      </w:r>
      <w:r w:rsidR="00206B8C" w:rsidRPr="00780D64">
        <w:rPr>
          <w:spacing w:val="-2"/>
          <w:sz w:val="20"/>
          <w:szCs w:val="20"/>
          <w:vertAlign w:val="superscript"/>
        </w:rPr>
        <w:t>75</w:t>
      </w:r>
      <w:r w:rsidR="00206B8C" w:rsidRPr="00780D64">
        <w:rPr>
          <w:spacing w:val="-2"/>
          <w:sz w:val="20"/>
          <w:szCs w:val="20"/>
        </w:rPr>
        <w:t>Se</w:t>
      </w:r>
      <w:r w:rsidR="007A49FE" w:rsidRPr="00780D64">
        <w:rPr>
          <w:spacing w:val="-2"/>
          <w:sz w:val="20"/>
          <w:szCs w:val="20"/>
        </w:rPr>
        <w:t xml:space="preserve">, đỉnh 482 keV của </w:t>
      </w:r>
      <w:r w:rsidR="007A49FE" w:rsidRPr="00780D64">
        <w:rPr>
          <w:spacing w:val="-2"/>
          <w:sz w:val="20"/>
          <w:szCs w:val="20"/>
          <w:vertAlign w:val="superscript"/>
        </w:rPr>
        <w:t>181</w:t>
      </w:r>
      <w:r w:rsidR="007A49FE" w:rsidRPr="00780D64">
        <w:rPr>
          <w:spacing w:val="-2"/>
          <w:sz w:val="20"/>
          <w:szCs w:val="20"/>
        </w:rPr>
        <w:t>Hf đ</w:t>
      </w:r>
      <w:r w:rsidR="00206B8C" w:rsidRPr="00780D64">
        <w:rPr>
          <w:spacing w:val="-2"/>
          <w:sz w:val="20"/>
          <w:szCs w:val="20"/>
        </w:rPr>
        <w:t xml:space="preserve">ược sử dụng để đánh giá mức độ đóng góp của đồng vị này vào đỉnh 136 keV của </w:t>
      </w:r>
      <w:r w:rsidR="00206B8C" w:rsidRPr="00780D64">
        <w:rPr>
          <w:spacing w:val="-2"/>
          <w:sz w:val="20"/>
          <w:szCs w:val="20"/>
          <w:vertAlign w:val="superscript"/>
        </w:rPr>
        <w:t>75</w:t>
      </w:r>
      <w:r w:rsidR="00206B8C" w:rsidRPr="00780D64">
        <w:rPr>
          <w:spacing w:val="-2"/>
          <w:sz w:val="20"/>
          <w:szCs w:val="20"/>
        </w:rPr>
        <w:t xml:space="preserve">Se và đỉnh </w:t>
      </w:r>
      <w:r w:rsidR="00944F09" w:rsidRPr="00780D64">
        <w:rPr>
          <w:spacing w:val="-2"/>
          <w:sz w:val="20"/>
          <w:szCs w:val="20"/>
        </w:rPr>
        <w:t>1221</w:t>
      </w:r>
      <w:proofErr w:type="gramStart"/>
      <w:r w:rsidR="00944F09" w:rsidRPr="00780D64">
        <w:rPr>
          <w:spacing w:val="-2"/>
          <w:sz w:val="20"/>
          <w:szCs w:val="20"/>
        </w:rPr>
        <w:t>,4</w:t>
      </w:r>
      <w:proofErr w:type="gramEnd"/>
      <w:r w:rsidR="00944F09" w:rsidRPr="00780D64">
        <w:rPr>
          <w:spacing w:val="-2"/>
          <w:sz w:val="20"/>
          <w:szCs w:val="20"/>
        </w:rPr>
        <w:t xml:space="preserve"> keV của </w:t>
      </w:r>
      <w:r w:rsidR="00944F09" w:rsidRPr="00780D64">
        <w:rPr>
          <w:spacing w:val="-2"/>
          <w:sz w:val="20"/>
          <w:szCs w:val="20"/>
          <w:vertAlign w:val="superscript"/>
        </w:rPr>
        <w:t>182</w:t>
      </w:r>
      <w:r w:rsidR="00944F09" w:rsidRPr="00780D64">
        <w:rPr>
          <w:spacing w:val="-2"/>
          <w:sz w:val="20"/>
          <w:szCs w:val="20"/>
        </w:rPr>
        <w:t xml:space="preserve">Ta </w:t>
      </w:r>
      <w:r w:rsidR="00206B8C" w:rsidRPr="00780D64">
        <w:rPr>
          <w:spacing w:val="-2"/>
          <w:sz w:val="20"/>
          <w:szCs w:val="20"/>
        </w:rPr>
        <w:t xml:space="preserve">được sử dụng </w:t>
      </w:r>
      <w:r w:rsidR="00944F09" w:rsidRPr="00780D64">
        <w:rPr>
          <w:spacing w:val="-2"/>
          <w:sz w:val="20"/>
          <w:szCs w:val="20"/>
        </w:rPr>
        <w:t xml:space="preserve">để </w:t>
      </w:r>
      <w:r w:rsidR="00206B8C" w:rsidRPr="00780D64">
        <w:rPr>
          <w:spacing w:val="-2"/>
          <w:sz w:val="20"/>
          <w:szCs w:val="20"/>
        </w:rPr>
        <w:t xml:space="preserve">đánh giá mức độ đóng góp của đồng vị này vào </w:t>
      </w:r>
      <w:r w:rsidR="00944F09" w:rsidRPr="00780D64">
        <w:rPr>
          <w:spacing w:val="-2"/>
          <w:sz w:val="20"/>
          <w:szCs w:val="20"/>
        </w:rPr>
        <w:t>đỉnh 264,1 keV.</w:t>
      </w:r>
      <w:r w:rsidR="007A49FE" w:rsidRPr="00780D64">
        <w:rPr>
          <w:spacing w:val="-2"/>
          <w:sz w:val="20"/>
          <w:szCs w:val="20"/>
        </w:rPr>
        <w:t xml:space="preserve"> </w:t>
      </w:r>
      <w:r w:rsidR="00206B8C" w:rsidRPr="00780D64">
        <w:rPr>
          <w:spacing w:val="-2"/>
          <w:sz w:val="20"/>
          <w:szCs w:val="20"/>
        </w:rPr>
        <w:t xml:space="preserve">Đồng vị </w:t>
      </w:r>
      <w:r w:rsidR="00206B8C" w:rsidRPr="00780D64">
        <w:rPr>
          <w:spacing w:val="-2"/>
          <w:sz w:val="20"/>
          <w:szCs w:val="20"/>
          <w:vertAlign w:val="superscript"/>
        </w:rPr>
        <w:t>203</w:t>
      </w:r>
      <w:r w:rsidR="00206B8C" w:rsidRPr="00780D64">
        <w:rPr>
          <w:spacing w:val="-2"/>
          <w:sz w:val="20"/>
          <w:szCs w:val="20"/>
        </w:rPr>
        <w:t xml:space="preserve">Hg phát duy nhất một đỉnh </w:t>
      </w:r>
      <w:r w:rsidR="007A49FE" w:rsidRPr="00780D64">
        <w:rPr>
          <w:spacing w:val="-2"/>
          <w:sz w:val="20"/>
          <w:szCs w:val="20"/>
        </w:rPr>
        <w:t>279 keV</w:t>
      </w:r>
      <w:r w:rsidR="00206B8C" w:rsidRPr="00780D64">
        <w:rPr>
          <w:spacing w:val="-2"/>
          <w:sz w:val="20"/>
          <w:szCs w:val="20"/>
        </w:rPr>
        <w:t xml:space="preserve"> do đó mức độ đóng góp được tính </w:t>
      </w:r>
      <w:proofErr w:type="gramStart"/>
      <w:r w:rsidR="00206B8C" w:rsidRPr="00780D64">
        <w:rPr>
          <w:spacing w:val="-2"/>
          <w:sz w:val="20"/>
          <w:szCs w:val="20"/>
        </w:rPr>
        <w:t>theo</w:t>
      </w:r>
      <w:proofErr w:type="gramEnd"/>
      <w:r w:rsidR="00206B8C" w:rsidRPr="00780D64">
        <w:rPr>
          <w:spacing w:val="-2"/>
          <w:sz w:val="20"/>
          <w:szCs w:val="20"/>
        </w:rPr>
        <w:t xml:space="preserve"> tỉ lệ đồng vị đã biết. </w:t>
      </w:r>
    </w:p>
    <w:p w:rsidR="00E343AA" w:rsidRPr="00780D64" w:rsidRDefault="00FB45E9" w:rsidP="00C847CB">
      <w:pPr>
        <w:spacing w:before="60" w:after="60" w:line="240" w:lineRule="auto"/>
        <w:jc w:val="both"/>
        <w:rPr>
          <w:spacing w:val="-2"/>
          <w:sz w:val="20"/>
          <w:szCs w:val="20"/>
        </w:rPr>
      </w:pPr>
      <w:r w:rsidRPr="00780D64">
        <w:rPr>
          <w:spacing w:val="-2"/>
          <w:sz w:val="20"/>
          <w:szCs w:val="20"/>
        </w:rPr>
        <w:tab/>
      </w:r>
      <w:r w:rsidR="003F41EA" w:rsidRPr="00780D64">
        <w:rPr>
          <w:spacing w:val="-2"/>
          <w:sz w:val="20"/>
          <w:szCs w:val="20"/>
        </w:rPr>
        <w:t xml:space="preserve">Trong chế độ đo trùng phùng “sự kiện - sự kiện”, </w:t>
      </w:r>
      <w:r w:rsidR="00385846" w:rsidRPr="00780D64">
        <w:rPr>
          <w:spacing w:val="-2"/>
          <w:sz w:val="20"/>
          <w:szCs w:val="20"/>
        </w:rPr>
        <w:t xml:space="preserve">để đánh giá tốc độ trùng phùng của một đỉnh quan tâm nào đó với các đỉnh khác, phương pháp chọn phổ gate đã được sử dụng. </w:t>
      </w:r>
      <w:proofErr w:type="gramStart"/>
      <w:r w:rsidR="00385846" w:rsidRPr="00780D64">
        <w:rPr>
          <w:spacing w:val="-2"/>
          <w:sz w:val="20"/>
          <w:szCs w:val="20"/>
        </w:rPr>
        <w:t>Giả sử gọi C1 và C2 là vị trí tương ứng với chân trái và chân phải của đỉnh quan tâm, các sự kiện trùng tương ứng với các sự kiện có biên độ (hoặc năng lượng) nằm trong khoảng [C1, C2] sẽ được xé</w:t>
      </w:r>
      <w:r w:rsidR="00E343AA" w:rsidRPr="00780D64">
        <w:rPr>
          <w:spacing w:val="-2"/>
          <w:sz w:val="20"/>
          <w:szCs w:val="20"/>
        </w:rPr>
        <w:t>t.</w:t>
      </w:r>
      <w:proofErr w:type="gramEnd"/>
      <w:r w:rsidR="00E343AA" w:rsidRPr="00780D64">
        <w:rPr>
          <w:spacing w:val="-2"/>
          <w:sz w:val="20"/>
          <w:szCs w:val="20"/>
        </w:rPr>
        <w:t xml:space="preserve"> </w:t>
      </w:r>
      <w:proofErr w:type="gramStart"/>
      <w:r w:rsidR="00E343AA" w:rsidRPr="00780D64">
        <w:rPr>
          <w:spacing w:val="-2"/>
          <w:sz w:val="20"/>
          <w:szCs w:val="20"/>
        </w:rPr>
        <w:t>Phổ tương ứng với các sự kiện này sẽ bao gồm cả các sự kiện trùng phùng thực và trùng phùng ngẫu nhiên.</w:t>
      </w:r>
      <w:proofErr w:type="gramEnd"/>
    </w:p>
    <w:p w:rsidR="00E343AA" w:rsidRPr="00780D64" w:rsidRDefault="00B14E07" w:rsidP="00C847CB">
      <w:pPr>
        <w:spacing w:before="60" w:after="60" w:line="240" w:lineRule="auto"/>
        <w:jc w:val="both"/>
        <w:rPr>
          <w:sz w:val="20"/>
          <w:szCs w:val="20"/>
        </w:rPr>
      </w:pPr>
      <w:r w:rsidRPr="00780D64">
        <w:rPr>
          <w:sz w:val="20"/>
          <w:szCs w:val="20"/>
        </w:rPr>
        <w:tab/>
      </w:r>
      <w:r w:rsidR="00E343AA" w:rsidRPr="00780D64">
        <w:rPr>
          <w:sz w:val="20"/>
          <w:szCs w:val="20"/>
        </w:rPr>
        <w:t xml:space="preserve">Để đánh giá phông do trùng phùng ngẫu nhiên gây ra trong phổ, phổ phông được chọn bằng kỹ thuật bù trừ với các vùng phông lân cận của đỉnh được sử dụng. Thuật toán sử dụng như sau: giả sử gọi B1 và B2 là chân trái và chân phải của vùng phông tương ứng với đỉnh, </w:t>
      </w:r>
      <w:r w:rsidR="00D37D09" w:rsidRPr="00780D64">
        <w:rPr>
          <w:sz w:val="20"/>
          <w:szCs w:val="20"/>
        </w:rPr>
        <w:t>những sự kiện trùng phùng tương ứng với các sự kiện có biên độ hoặc năng lượng nằm trong vùng phông bên trái [B1</w:t>
      </w:r>
      <w:proofErr w:type="gramStart"/>
      <w:r w:rsidR="00D37D09" w:rsidRPr="00780D64">
        <w:rPr>
          <w:sz w:val="20"/>
          <w:szCs w:val="20"/>
        </w:rPr>
        <w:t>,C1</w:t>
      </w:r>
      <w:proofErr w:type="gramEnd"/>
      <w:r w:rsidR="00D37D09" w:rsidRPr="00780D64">
        <w:rPr>
          <w:sz w:val="20"/>
          <w:szCs w:val="20"/>
        </w:rPr>
        <w:t xml:space="preserve">] và vùng phông bên phải [C2,B2] sẽ được xem như phổ của các sự kiện do trùng phùng ngẫu nhiên tạo ra. </w:t>
      </w:r>
      <w:proofErr w:type="gramStart"/>
      <w:r w:rsidR="00D37D09" w:rsidRPr="00780D64">
        <w:rPr>
          <w:sz w:val="20"/>
          <w:szCs w:val="20"/>
        </w:rPr>
        <w:t>Phổ chưa loại trừ phông sẽ được trừ cho phổ phông, diện tích của một đỉnh trong phổ trùng phùng sẽ được tính bằng cách tổng số đếm của các kênh trong vùng đỉnh với độ tin cậy 2</w:t>
      </w:r>
      <w:r w:rsidR="00D37D09" w:rsidRPr="00780D64">
        <w:rPr>
          <w:sz w:val="20"/>
          <w:szCs w:val="20"/>
        </w:rPr>
        <w:sym w:font="Symbol" w:char="F073"/>
      </w:r>
      <w:r w:rsidR="00D37D09" w:rsidRPr="00780D64">
        <w:rPr>
          <w:sz w:val="20"/>
          <w:szCs w:val="20"/>
        </w:rPr>
        <w:t>.</w:t>
      </w:r>
      <w:proofErr w:type="gramEnd"/>
    </w:p>
    <w:p w:rsidR="00884530" w:rsidRPr="00780D64" w:rsidRDefault="00CD48FE" w:rsidP="00C847CB">
      <w:pPr>
        <w:spacing w:before="60" w:after="60" w:line="240" w:lineRule="auto"/>
        <w:jc w:val="both"/>
        <w:rPr>
          <w:sz w:val="20"/>
          <w:szCs w:val="20"/>
        </w:rPr>
      </w:pPr>
      <w:r w:rsidRPr="00780D64">
        <w:rPr>
          <w:sz w:val="20"/>
          <w:szCs w:val="20"/>
        </w:rPr>
        <w:tab/>
      </w:r>
      <w:proofErr w:type="gramStart"/>
      <w:r w:rsidRPr="00780D64">
        <w:rPr>
          <w:sz w:val="20"/>
          <w:szCs w:val="20"/>
        </w:rPr>
        <w:t>Tỉ số diện tích đỉnh/ phông trong cả hai trường hợp được sử dụng để đánh giá giới hạn phát hiện giữa hai phương pháp.</w:t>
      </w:r>
      <w:proofErr w:type="gramEnd"/>
      <w:r w:rsidRPr="00780D64">
        <w:rPr>
          <w:sz w:val="20"/>
          <w:szCs w:val="20"/>
        </w:rPr>
        <w:t xml:space="preserve"> Ngoài ra giới hạn phân tích cũng được đánh giá theo công thức (1) dưới </w:t>
      </w:r>
      <w:proofErr w:type="gramStart"/>
      <w:r w:rsidRPr="00780D64">
        <w:rPr>
          <w:sz w:val="20"/>
          <w:szCs w:val="20"/>
        </w:rPr>
        <w:t>đây</w:t>
      </w:r>
      <w:r w:rsidRPr="00780D64">
        <w:rPr>
          <w:spacing w:val="-2"/>
          <w:sz w:val="20"/>
          <w:szCs w:val="20"/>
        </w:rPr>
        <w:t>[</w:t>
      </w:r>
      <w:proofErr w:type="gramEnd"/>
      <w:r w:rsidR="003861E5" w:rsidRPr="00780D64">
        <w:rPr>
          <w:spacing w:val="-2"/>
          <w:sz w:val="20"/>
          <w:szCs w:val="20"/>
        </w:rPr>
        <w:t>8</w:t>
      </w:r>
      <w:r w:rsidRPr="00780D64">
        <w:rPr>
          <w:spacing w:val="-2"/>
          <w:sz w:val="20"/>
          <w:szCs w:val="20"/>
        </w:rPr>
        <w:t>]</w:t>
      </w:r>
      <w:r w:rsidRPr="00780D64">
        <w:rPr>
          <w:sz w:val="20"/>
          <w:szCs w:val="20"/>
        </w:rPr>
        <w:t xml:space="preserve">: </w:t>
      </w:r>
    </w:p>
    <w:p w:rsidR="00FC4235" w:rsidRPr="00780D64" w:rsidRDefault="00FC4235" w:rsidP="00C847CB">
      <w:pPr>
        <w:spacing w:before="60" w:after="60" w:line="240" w:lineRule="auto"/>
        <w:ind w:firstLine="360"/>
        <w:jc w:val="center"/>
        <w:rPr>
          <w:sz w:val="20"/>
          <w:szCs w:val="20"/>
        </w:rPr>
      </w:pPr>
      <w:r w:rsidRPr="00780D64">
        <w:rPr>
          <w:position w:val="-68"/>
          <w:sz w:val="20"/>
          <w:szCs w:val="20"/>
        </w:rPr>
        <w:object w:dxaOrig="22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77.3pt" o:ole="">
            <v:imagedata r:id="rId10" o:title=""/>
          </v:shape>
          <o:OLEObject Type="Embed" ProgID="Equation.DSMT4" ShapeID="_x0000_i1025" DrawAspect="Content" ObjectID="_1480175146" r:id="rId11"/>
        </w:object>
      </w:r>
      <w:r w:rsidRPr="00780D64">
        <w:rPr>
          <w:sz w:val="20"/>
          <w:szCs w:val="20"/>
        </w:rPr>
        <w:tab/>
      </w:r>
      <w:r w:rsidRPr="00780D64">
        <w:rPr>
          <w:sz w:val="20"/>
          <w:szCs w:val="20"/>
        </w:rPr>
        <w:tab/>
      </w:r>
      <w:r w:rsidRPr="00780D64">
        <w:rPr>
          <w:sz w:val="20"/>
          <w:szCs w:val="20"/>
        </w:rPr>
        <w:tab/>
      </w:r>
      <w:r w:rsidRPr="00780D64">
        <w:rPr>
          <w:sz w:val="20"/>
          <w:szCs w:val="20"/>
        </w:rPr>
        <w:tab/>
      </w:r>
      <w:r w:rsidRPr="00780D64">
        <w:rPr>
          <w:sz w:val="20"/>
          <w:szCs w:val="20"/>
        </w:rPr>
        <w:tab/>
        <w:t>(</w:t>
      </w:r>
      <w:r w:rsidR="00217AE5" w:rsidRPr="00780D64">
        <w:rPr>
          <w:sz w:val="20"/>
          <w:szCs w:val="20"/>
        </w:rPr>
        <w:t>1</w:t>
      </w:r>
      <w:r w:rsidRPr="00780D64">
        <w:rPr>
          <w:sz w:val="20"/>
          <w:szCs w:val="20"/>
        </w:rPr>
        <w:t>)</w:t>
      </w:r>
    </w:p>
    <w:p w:rsidR="00FC4235" w:rsidRPr="00780D64" w:rsidRDefault="00FC4235" w:rsidP="00C847CB">
      <w:pPr>
        <w:spacing w:before="60" w:after="60" w:line="240" w:lineRule="auto"/>
        <w:ind w:firstLine="360"/>
        <w:jc w:val="both"/>
        <w:rPr>
          <w:sz w:val="20"/>
          <w:szCs w:val="20"/>
        </w:rPr>
      </w:pPr>
      <w:r w:rsidRPr="00780D64">
        <w:rPr>
          <w:sz w:val="20"/>
          <w:szCs w:val="20"/>
        </w:rPr>
        <w:t xml:space="preserve">Trong đó:  </w:t>
      </w:r>
    </w:p>
    <w:p w:rsidR="00FC4235" w:rsidRPr="00780D64" w:rsidRDefault="00FC4235" w:rsidP="00C847CB">
      <w:pPr>
        <w:spacing w:before="60" w:after="60" w:line="240" w:lineRule="auto"/>
        <w:ind w:left="360" w:firstLine="720"/>
        <w:jc w:val="both"/>
        <w:rPr>
          <w:sz w:val="20"/>
          <w:szCs w:val="20"/>
        </w:rPr>
      </w:pPr>
      <w:r w:rsidRPr="00780D64">
        <w:rPr>
          <w:sz w:val="20"/>
          <w:szCs w:val="20"/>
        </w:rPr>
        <w:t>C</w:t>
      </w:r>
      <w:r w:rsidRPr="00780D64">
        <w:rPr>
          <w:sz w:val="20"/>
          <w:szCs w:val="20"/>
          <w:vertAlign w:val="subscript"/>
        </w:rPr>
        <w:t>DL</w:t>
      </w:r>
      <w:r w:rsidRPr="00780D64">
        <w:rPr>
          <w:sz w:val="20"/>
          <w:szCs w:val="20"/>
        </w:rPr>
        <w:t xml:space="preserve">: giới hạn đo tính </w:t>
      </w:r>
      <w:proofErr w:type="gramStart"/>
      <w:r w:rsidRPr="00780D64">
        <w:rPr>
          <w:sz w:val="20"/>
          <w:szCs w:val="20"/>
        </w:rPr>
        <w:t>theo</w:t>
      </w:r>
      <w:proofErr w:type="gramEnd"/>
      <w:r w:rsidRPr="00780D64">
        <w:rPr>
          <w:sz w:val="20"/>
          <w:szCs w:val="20"/>
        </w:rPr>
        <w:t xml:space="preserve"> đơn vị hàm lượng (ppm)</w:t>
      </w:r>
      <w:r w:rsidR="002E5AA3" w:rsidRPr="00780D64">
        <w:rPr>
          <w:sz w:val="20"/>
          <w:szCs w:val="20"/>
        </w:rPr>
        <w:t>;</w:t>
      </w:r>
    </w:p>
    <w:p w:rsidR="00FC4235" w:rsidRPr="00780D64" w:rsidRDefault="00FC4235" w:rsidP="00C847CB">
      <w:pPr>
        <w:spacing w:before="60" w:after="60" w:line="240" w:lineRule="auto"/>
        <w:ind w:left="360" w:firstLine="720"/>
        <w:jc w:val="both"/>
        <w:rPr>
          <w:sz w:val="20"/>
          <w:szCs w:val="20"/>
        </w:rPr>
      </w:pPr>
      <w:r w:rsidRPr="00780D64">
        <w:rPr>
          <w:sz w:val="20"/>
          <w:szCs w:val="20"/>
        </w:rPr>
        <w:t>C: hàm lượng của đồng vị quan tâm trong mẫ</w:t>
      </w:r>
      <w:r w:rsidR="00217AE5" w:rsidRPr="00780D64">
        <w:rPr>
          <w:sz w:val="20"/>
          <w:szCs w:val="20"/>
        </w:rPr>
        <w:t>u phân tích (</w:t>
      </w:r>
      <w:r w:rsidRPr="00780D64">
        <w:rPr>
          <w:sz w:val="20"/>
          <w:szCs w:val="20"/>
        </w:rPr>
        <w:t>ppm)</w:t>
      </w:r>
      <w:r w:rsidR="002E5AA3" w:rsidRPr="00780D64">
        <w:rPr>
          <w:sz w:val="20"/>
          <w:szCs w:val="20"/>
        </w:rPr>
        <w:t>;</w:t>
      </w:r>
    </w:p>
    <w:p w:rsidR="00FC4235" w:rsidRPr="00780D64" w:rsidRDefault="00FC4235" w:rsidP="00C847CB">
      <w:pPr>
        <w:spacing w:before="60" w:after="60" w:line="240" w:lineRule="auto"/>
        <w:ind w:left="360" w:firstLine="720"/>
        <w:jc w:val="both"/>
        <w:rPr>
          <w:sz w:val="20"/>
          <w:szCs w:val="20"/>
        </w:rPr>
      </w:pPr>
      <w:r w:rsidRPr="00780D64">
        <w:rPr>
          <w:sz w:val="20"/>
          <w:szCs w:val="20"/>
        </w:rPr>
        <w:t>P: diện tích đỉnh phổ (số đếm)</w:t>
      </w:r>
      <w:r w:rsidR="002E5AA3" w:rsidRPr="00780D64">
        <w:rPr>
          <w:sz w:val="20"/>
          <w:szCs w:val="20"/>
        </w:rPr>
        <w:t>;</w:t>
      </w:r>
    </w:p>
    <w:p w:rsidR="00FC4235" w:rsidRPr="00780D64" w:rsidRDefault="00FC4235" w:rsidP="00C847CB">
      <w:pPr>
        <w:spacing w:before="60" w:after="60" w:line="240" w:lineRule="auto"/>
        <w:ind w:left="360" w:firstLine="720"/>
        <w:jc w:val="both"/>
        <w:rPr>
          <w:sz w:val="20"/>
          <w:szCs w:val="20"/>
        </w:rPr>
      </w:pPr>
      <w:r w:rsidRPr="00780D64">
        <w:rPr>
          <w:sz w:val="20"/>
          <w:szCs w:val="20"/>
        </w:rPr>
        <w:lastRenderedPageBreak/>
        <w:t>B: diện tích nền phông dưới đỉ</w:t>
      </w:r>
      <w:r w:rsidR="00217AE5" w:rsidRPr="00780D64">
        <w:rPr>
          <w:sz w:val="20"/>
          <w:szCs w:val="20"/>
        </w:rPr>
        <w:t>nh (</w:t>
      </w:r>
      <w:r w:rsidRPr="00780D64">
        <w:rPr>
          <w:sz w:val="20"/>
          <w:szCs w:val="20"/>
        </w:rPr>
        <w:t>số đếm)</w:t>
      </w:r>
      <w:r w:rsidR="002E5AA3" w:rsidRPr="00780D64">
        <w:rPr>
          <w:sz w:val="20"/>
          <w:szCs w:val="20"/>
        </w:rPr>
        <w:t>;</w:t>
      </w:r>
    </w:p>
    <w:p w:rsidR="00FC4235" w:rsidRPr="00780D64" w:rsidRDefault="00FC4235" w:rsidP="00C847CB">
      <w:pPr>
        <w:spacing w:before="60" w:after="60" w:line="240" w:lineRule="auto"/>
        <w:ind w:left="360" w:firstLine="720"/>
        <w:jc w:val="both"/>
        <w:rPr>
          <w:sz w:val="20"/>
          <w:szCs w:val="20"/>
        </w:rPr>
      </w:pPr>
      <w:proofErr w:type="gramStart"/>
      <w:r w:rsidRPr="00780D64">
        <w:rPr>
          <w:sz w:val="20"/>
          <w:szCs w:val="20"/>
        </w:rPr>
        <w:t>t</w:t>
      </w:r>
      <w:proofErr w:type="gramEnd"/>
      <w:r w:rsidRPr="00780D64">
        <w:rPr>
          <w:sz w:val="20"/>
          <w:szCs w:val="20"/>
        </w:rPr>
        <w:t>: thời gian đo mẫu (giây)</w:t>
      </w:r>
      <w:r w:rsidR="002E5AA3" w:rsidRPr="00780D64">
        <w:rPr>
          <w:sz w:val="20"/>
          <w:szCs w:val="20"/>
        </w:rPr>
        <w:t>;</w:t>
      </w:r>
    </w:p>
    <w:p w:rsidR="00FC4235" w:rsidRPr="00780D64" w:rsidRDefault="00F22D09" w:rsidP="00C847CB">
      <w:pPr>
        <w:spacing w:before="60" w:after="60" w:line="240" w:lineRule="auto"/>
        <w:ind w:left="360" w:firstLine="720"/>
        <w:jc w:val="both"/>
        <w:rPr>
          <w:sz w:val="20"/>
          <w:szCs w:val="20"/>
        </w:rPr>
      </w:pPr>
      <w:proofErr w:type="gramStart"/>
      <w:r>
        <w:rPr>
          <w:sz w:val="20"/>
          <w:szCs w:val="20"/>
        </w:rPr>
        <w:t>η</w:t>
      </w:r>
      <w:r w:rsidR="00FC4235" w:rsidRPr="00780D64">
        <w:rPr>
          <w:sz w:val="20"/>
          <w:szCs w:val="20"/>
          <w:vertAlign w:val="subscript"/>
        </w:rPr>
        <w:t>P</w:t>
      </w:r>
      <w:proofErr w:type="gramEnd"/>
      <w:r w:rsidR="00FC4235" w:rsidRPr="00780D64">
        <w:rPr>
          <w:sz w:val="20"/>
          <w:szCs w:val="20"/>
          <w:vertAlign w:val="subscript"/>
        </w:rPr>
        <w:t xml:space="preserve"> </w:t>
      </w:r>
      <w:r w:rsidR="00FC4235" w:rsidRPr="00780D64">
        <w:rPr>
          <w:sz w:val="20"/>
          <w:szCs w:val="20"/>
        </w:rPr>
        <w:t xml:space="preserve">và </w:t>
      </w:r>
      <w:r>
        <w:rPr>
          <w:sz w:val="20"/>
          <w:szCs w:val="20"/>
        </w:rPr>
        <w:t>η</w:t>
      </w:r>
      <w:r w:rsidR="00FC4235" w:rsidRPr="00780D64">
        <w:rPr>
          <w:sz w:val="20"/>
          <w:szCs w:val="20"/>
          <w:vertAlign w:val="subscript"/>
        </w:rPr>
        <w:t>B</w:t>
      </w:r>
      <w:r w:rsidR="00FC4235" w:rsidRPr="00780D64">
        <w:rPr>
          <w:sz w:val="20"/>
          <w:szCs w:val="20"/>
        </w:rPr>
        <w:t xml:space="preserve"> là hằng số</w:t>
      </w:r>
      <w:r w:rsidR="002E5AA3" w:rsidRPr="00780D64">
        <w:rPr>
          <w:sz w:val="20"/>
          <w:szCs w:val="20"/>
        </w:rPr>
        <w:t>.</w:t>
      </w:r>
    </w:p>
    <w:p w:rsidR="00FD3954" w:rsidRPr="00780D64" w:rsidRDefault="00FD3954" w:rsidP="00C847CB">
      <w:pPr>
        <w:shd w:val="clear" w:color="auto" w:fill="FFFFFF"/>
        <w:spacing w:before="60" w:after="60" w:line="240" w:lineRule="auto"/>
        <w:jc w:val="both"/>
        <w:rPr>
          <w:rFonts w:eastAsia="Batang"/>
          <w:sz w:val="20"/>
          <w:szCs w:val="20"/>
          <w:lang w:eastAsia="ja-JP" w:bidi="hi-IN"/>
        </w:rPr>
      </w:pPr>
      <w:proofErr w:type="gramStart"/>
      <w:r w:rsidRPr="00780D64">
        <w:rPr>
          <w:rFonts w:eastAsia="Batang"/>
          <w:sz w:val="20"/>
          <w:szCs w:val="20"/>
          <w:lang w:eastAsia="ja-JP" w:bidi="hi-IN"/>
        </w:rPr>
        <w:t xml:space="preserve">Với </w:t>
      </w:r>
      <w:r w:rsidRPr="00780D64">
        <w:rPr>
          <w:rFonts w:eastAsia="Batang"/>
          <w:sz w:val="20"/>
          <w:szCs w:val="20"/>
          <w:vertAlign w:val="superscript"/>
          <w:lang w:eastAsia="ja-JP" w:bidi="hi-IN"/>
        </w:rPr>
        <w:t>75</w:t>
      </w:r>
      <w:r w:rsidRPr="00780D64">
        <w:rPr>
          <w:rFonts w:eastAsia="Batang"/>
          <w:sz w:val="20"/>
          <w:szCs w:val="20"/>
          <w:lang w:eastAsia="ja-JP" w:bidi="hi-IN"/>
        </w:rPr>
        <w:t xml:space="preserve">Se, </w:t>
      </w:r>
      <w:r w:rsidR="00A153BD" w:rsidRPr="00780D64">
        <w:rPr>
          <w:rFonts w:eastAsia="Batang"/>
          <w:sz w:val="20"/>
          <w:szCs w:val="20"/>
          <w:lang w:eastAsia="ja-JP" w:bidi="hi-IN"/>
        </w:rPr>
        <w:t xml:space="preserve">các cặp đỉnh </w:t>
      </w:r>
      <w:r w:rsidRPr="00780D64">
        <w:rPr>
          <w:rFonts w:eastAsia="Batang"/>
          <w:sz w:val="20"/>
          <w:szCs w:val="20"/>
          <w:lang w:eastAsia="ja-JP" w:bidi="hi-IN"/>
        </w:rPr>
        <w:t>121</w:t>
      </w:r>
      <w:r w:rsidR="00A153BD" w:rsidRPr="00780D64">
        <w:rPr>
          <w:rFonts w:eastAsia="Batang"/>
          <w:sz w:val="20"/>
          <w:szCs w:val="20"/>
          <w:lang w:eastAsia="ja-JP" w:bidi="hi-IN"/>
        </w:rPr>
        <w:t>-</w:t>
      </w:r>
      <w:r w:rsidRPr="00780D64">
        <w:rPr>
          <w:rFonts w:eastAsia="Batang"/>
          <w:sz w:val="20"/>
          <w:szCs w:val="20"/>
          <w:lang w:eastAsia="ja-JP" w:bidi="hi-IN"/>
        </w:rPr>
        <w:t>279 keV và 136</w:t>
      </w:r>
      <w:r w:rsidR="00A153BD" w:rsidRPr="00780D64">
        <w:rPr>
          <w:rFonts w:eastAsia="Batang"/>
          <w:sz w:val="20"/>
          <w:szCs w:val="20"/>
          <w:lang w:eastAsia="ja-JP" w:bidi="hi-IN"/>
        </w:rPr>
        <w:t>-264</w:t>
      </w:r>
      <w:r w:rsidRPr="00780D64">
        <w:rPr>
          <w:rFonts w:eastAsia="Batang"/>
          <w:sz w:val="20"/>
          <w:szCs w:val="20"/>
          <w:lang w:eastAsia="ja-JP" w:bidi="hi-IN"/>
        </w:rPr>
        <w:t xml:space="preserve"> keV </w:t>
      </w:r>
      <w:r w:rsidR="00A153BD" w:rsidRPr="00780D64">
        <w:rPr>
          <w:rFonts w:eastAsia="Batang"/>
          <w:sz w:val="20"/>
          <w:szCs w:val="20"/>
          <w:lang w:eastAsia="ja-JP" w:bidi="hi-IN"/>
        </w:rPr>
        <w:t>là những cặp gamma nối tầng có cường độ lớn.</w:t>
      </w:r>
      <w:proofErr w:type="gramEnd"/>
      <w:r w:rsidR="00A153BD" w:rsidRPr="00780D64">
        <w:rPr>
          <w:rFonts w:eastAsia="Batang"/>
          <w:sz w:val="20"/>
          <w:szCs w:val="20"/>
          <w:lang w:eastAsia="ja-JP" w:bidi="hi-IN"/>
        </w:rPr>
        <w:t xml:space="preserve"> Căn cứ vào các phân tích sơ đồ phân rã của các hạt nhân </w:t>
      </w:r>
      <w:r w:rsidR="00A153BD" w:rsidRPr="00780D64">
        <w:rPr>
          <w:rFonts w:eastAsia="Batang"/>
          <w:sz w:val="20"/>
          <w:szCs w:val="20"/>
          <w:vertAlign w:val="superscript"/>
          <w:lang w:eastAsia="ja-JP" w:bidi="hi-IN"/>
        </w:rPr>
        <w:t>75</w:t>
      </w:r>
      <w:r w:rsidR="00A153BD" w:rsidRPr="00780D64">
        <w:rPr>
          <w:rFonts w:eastAsia="Batang"/>
          <w:sz w:val="20"/>
          <w:szCs w:val="20"/>
          <w:lang w:eastAsia="ja-JP" w:bidi="hi-IN"/>
        </w:rPr>
        <w:t xml:space="preserve">Se, </w:t>
      </w:r>
      <w:r w:rsidR="00A153BD" w:rsidRPr="00780D64">
        <w:rPr>
          <w:rFonts w:eastAsia="Batang"/>
          <w:sz w:val="20"/>
          <w:szCs w:val="20"/>
          <w:vertAlign w:val="superscript"/>
          <w:lang w:eastAsia="ja-JP" w:bidi="hi-IN"/>
        </w:rPr>
        <w:t>181</w:t>
      </w:r>
      <w:r w:rsidR="00A153BD" w:rsidRPr="00780D64">
        <w:rPr>
          <w:rFonts w:eastAsia="Batang"/>
          <w:sz w:val="20"/>
          <w:szCs w:val="20"/>
          <w:lang w:eastAsia="ja-JP" w:bidi="hi-IN"/>
        </w:rPr>
        <w:t xml:space="preserve">Hf, </w:t>
      </w:r>
      <w:r w:rsidR="00A153BD" w:rsidRPr="00780D64">
        <w:rPr>
          <w:rFonts w:eastAsia="Batang"/>
          <w:sz w:val="20"/>
          <w:szCs w:val="20"/>
          <w:vertAlign w:val="superscript"/>
          <w:lang w:eastAsia="ja-JP" w:bidi="hi-IN"/>
        </w:rPr>
        <w:t>152</w:t>
      </w:r>
      <w:r w:rsidR="00A153BD" w:rsidRPr="00780D64">
        <w:rPr>
          <w:rFonts w:eastAsia="Batang"/>
          <w:sz w:val="20"/>
          <w:szCs w:val="20"/>
          <w:lang w:eastAsia="ja-JP" w:bidi="hi-IN"/>
        </w:rPr>
        <w:t xml:space="preserve">Eu và </w:t>
      </w:r>
      <w:r w:rsidR="00A153BD" w:rsidRPr="00780D64">
        <w:rPr>
          <w:rFonts w:eastAsia="Batang"/>
          <w:sz w:val="20"/>
          <w:szCs w:val="20"/>
          <w:vertAlign w:val="superscript"/>
          <w:lang w:eastAsia="ja-JP" w:bidi="hi-IN"/>
        </w:rPr>
        <w:t>203</w:t>
      </w:r>
      <w:r w:rsidR="00A153BD" w:rsidRPr="00780D64">
        <w:rPr>
          <w:rFonts w:eastAsia="Batang"/>
          <w:sz w:val="20"/>
          <w:szCs w:val="20"/>
          <w:lang w:eastAsia="ja-JP" w:bidi="hi-IN"/>
        </w:rPr>
        <w:t>Hg có thể dự đoán phổ gate ứng với đỉnh 264 keV sẽ bị ảnh hưởng của các đồng vị nhiễu nhỏ nhất và cường độ của các đỉnh quan tâm là lớn nhất.</w:t>
      </w:r>
    </w:p>
    <w:p w:rsidR="00B5732B" w:rsidRPr="002217DC" w:rsidRDefault="002217DC" w:rsidP="00990797">
      <w:pPr>
        <w:spacing w:before="60" w:after="60" w:line="240" w:lineRule="auto"/>
        <w:jc w:val="both"/>
        <w:rPr>
          <w:b/>
          <w:sz w:val="20"/>
          <w:szCs w:val="20"/>
          <w:lang w:val="vi-VN"/>
        </w:rPr>
      </w:pPr>
      <w:r>
        <w:rPr>
          <w:b/>
          <w:sz w:val="20"/>
          <w:szCs w:val="20"/>
        </w:rPr>
        <w:t xml:space="preserve">4. </w:t>
      </w:r>
      <w:r w:rsidR="00116299" w:rsidRPr="002217DC">
        <w:rPr>
          <w:b/>
          <w:sz w:val="20"/>
          <w:szCs w:val="20"/>
          <w:lang w:val="vi-VN"/>
        </w:rPr>
        <w:t xml:space="preserve">Kết </w:t>
      </w:r>
      <w:r w:rsidR="000B398F" w:rsidRPr="002217DC">
        <w:rPr>
          <w:b/>
          <w:sz w:val="20"/>
          <w:szCs w:val="20"/>
          <w:lang w:val="vi-VN"/>
        </w:rPr>
        <w:t>quả</w:t>
      </w:r>
      <w:r w:rsidR="003F64F9" w:rsidRPr="002217DC">
        <w:rPr>
          <w:b/>
          <w:sz w:val="20"/>
          <w:szCs w:val="20"/>
        </w:rPr>
        <w:t xml:space="preserve"> nghiên cứu</w:t>
      </w:r>
      <w:r w:rsidR="00116299" w:rsidRPr="002217DC">
        <w:rPr>
          <w:b/>
          <w:sz w:val="20"/>
          <w:szCs w:val="20"/>
          <w:lang w:val="vi-VN"/>
        </w:rPr>
        <w:t xml:space="preserve"> và </w:t>
      </w:r>
      <w:r w:rsidR="003F64F9" w:rsidRPr="002217DC">
        <w:rPr>
          <w:b/>
          <w:sz w:val="20"/>
          <w:szCs w:val="20"/>
        </w:rPr>
        <w:t>bình</w:t>
      </w:r>
      <w:r w:rsidR="00116299" w:rsidRPr="002217DC">
        <w:rPr>
          <w:b/>
          <w:sz w:val="20"/>
          <w:szCs w:val="20"/>
          <w:lang w:val="vi-VN"/>
        </w:rPr>
        <w:t xml:space="preserve"> luận</w:t>
      </w:r>
      <w:r w:rsidR="00B5732B" w:rsidRPr="002217DC">
        <w:rPr>
          <w:b/>
          <w:smallCaps/>
          <w:sz w:val="20"/>
          <w:szCs w:val="20"/>
          <w:lang w:val="vi-VN"/>
        </w:rPr>
        <w:t xml:space="preserve"> </w:t>
      </w:r>
    </w:p>
    <w:p w:rsidR="00B5732B" w:rsidRPr="00780D64" w:rsidRDefault="003F64F9" w:rsidP="00990797">
      <w:pPr>
        <w:spacing w:before="60" w:after="60" w:line="240" w:lineRule="auto"/>
        <w:ind w:firstLine="284"/>
        <w:jc w:val="both"/>
        <w:rPr>
          <w:b/>
          <w:sz w:val="20"/>
          <w:szCs w:val="20"/>
        </w:rPr>
      </w:pPr>
      <w:r>
        <w:rPr>
          <w:b/>
          <w:sz w:val="20"/>
          <w:szCs w:val="20"/>
        </w:rPr>
        <w:t>4</w:t>
      </w:r>
      <w:r w:rsidR="00FB45E9" w:rsidRPr="00780D64">
        <w:rPr>
          <w:b/>
          <w:sz w:val="20"/>
          <w:szCs w:val="20"/>
        </w:rPr>
        <w:t xml:space="preserve">.1. </w:t>
      </w:r>
      <w:r w:rsidR="00B5732B" w:rsidRPr="00780D64">
        <w:rPr>
          <w:b/>
          <w:sz w:val="20"/>
          <w:szCs w:val="20"/>
        </w:rPr>
        <w:t>Kết quả</w:t>
      </w:r>
    </w:p>
    <w:p w:rsidR="00B5732B" w:rsidRPr="00780D64" w:rsidRDefault="00745959" w:rsidP="00C847CB">
      <w:pPr>
        <w:spacing w:before="60" w:after="60" w:line="240" w:lineRule="auto"/>
        <w:ind w:firstLine="284"/>
        <w:jc w:val="both"/>
        <w:rPr>
          <w:sz w:val="20"/>
          <w:szCs w:val="20"/>
        </w:rPr>
      </w:pPr>
      <w:proofErr w:type="gramStart"/>
      <w:r w:rsidRPr="00780D64">
        <w:rPr>
          <w:sz w:val="20"/>
          <w:szCs w:val="20"/>
        </w:rPr>
        <w:t>Phổ trùng phùng ứng với các đỉnh năng năng lượng được chọn làm gate khác nhau để đánh giá mức độ ảnh hưởng của các đồng vị gây nhiễu được trình bày trên hình 2.</w:t>
      </w:r>
      <w:proofErr w:type="gramEnd"/>
      <w:r w:rsidRPr="00780D64">
        <w:rPr>
          <w:sz w:val="20"/>
          <w:szCs w:val="20"/>
        </w:rPr>
        <w:t xml:space="preserve"> </w:t>
      </w:r>
      <w:r w:rsidR="00474C4C" w:rsidRPr="00780D64">
        <w:rPr>
          <w:sz w:val="20"/>
          <w:szCs w:val="20"/>
        </w:rPr>
        <w:t xml:space="preserve">Hình 3 là phổ vùng tương ứng với các đỉnh của </w:t>
      </w:r>
      <w:r w:rsidR="00474C4C" w:rsidRPr="00780D64">
        <w:rPr>
          <w:sz w:val="20"/>
          <w:szCs w:val="20"/>
          <w:vertAlign w:val="superscript"/>
        </w:rPr>
        <w:t>75</w:t>
      </w:r>
      <w:r w:rsidR="00474C4C" w:rsidRPr="00780D64">
        <w:rPr>
          <w:sz w:val="20"/>
          <w:szCs w:val="20"/>
        </w:rPr>
        <w:t xml:space="preserve">Se trong chế độ đo trùng phùng. Kết quả so sánh giữ phổ đo đơn và đo trùng phùng của </w:t>
      </w:r>
      <w:r w:rsidR="00B5732B" w:rsidRPr="00780D64">
        <w:rPr>
          <w:sz w:val="20"/>
          <w:szCs w:val="20"/>
        </w:rPr>
        <w:t>Montana II Soil</w:t>
      </w:r>
      <w:r w:rsidR="003C5EB7" w:rsidRPr="00780D64">
        <w:rPr>
          <w:sz w:val="20"/>
          <w:szCs w:val="20"/>
        </w:rPr>
        <w:t xml:space="preserve"> </w:t>
      </w:r>
      <w:r w:rsidR="00B5732B" w:rsidRPr="00780D64">
        <w:rPr>
          <w:sz w:val="20"/>
          <w:szCs w:val="20"/>
        </w:rPr>
        <w:t xml:space="preserve">được trình bày trên hình </w:t>
      </w:r>
      <w:r w:rsidRPr="00780D64">
        <w:rPr>
          <w:sz w:val="20"/>
          <w:szCs w:val="20"/>
        </w:rPr>
        <w:t>4</w:t>
      </w:r>
      <w:r w:rsidR="00B5732B" w:rsidRPr="00780D64">
        <w:rPr>
          <w:sz w:val="20"/>
          <w:szCs w:val="20"/>
        </w:rPr>
        <w:t xml:space="preserve">. Tỉ số đỉnh/phông, giới hạn phát hiện tương ứng với các đỉnh gamma của </w:t>
      </w:r>
      <w:r w:rsidR="00B5732B" w:rsidRPr="00780D64">
        <w:rPr>
          <w:sz w:val="20"/>
          <w:szCs w:val="20"/>
          <w:vertAlign w:val="superscript"/>
        </w:rPr>
        <w:t>75</w:t>
      </w:r>
      <w:r w:rsidR="00B5732B" w:rsidRPr="00780D64">
        <w:rPr>
          <w:sz w:val="20"/>
          <w:szCs w:val="20"/>
        </w:rPr>
        <w:t>Se trong hai chế độ đo được trình bày trong bảng 1.</w:t>
      </w:r>
    </w:p>
    <w:p w:rsidR="002F7351" w:rsidRDefault="00C77125" w:rsidP="00C847CB">
      <w:pPr>
        <w:spacing w:before="60" w:after="60" w:line="240" w:lineRule="auto"/>
        <w:jc w:val="center"/>
        <w:rPr>
          <w:sz w:val="20"/>
          <w:szCs w:val="20"/>
        </w:rPr>
      </w:pPr>
      <w:r w:rsidRPr="00780D64">
        <w:rPr>
          <w:sz w:val="20"/>
          <w:szCs w:val="20"/>
        </w:rPr>
        <w:object w:dxaOrig="4531" w:dyaOrig="6506">
          <v:shape id="_x0000_i1026" type="#_x0000_t75" style="width:233.65pt;height:204.5pt" o:ole="">
            <v:imagedata r:id="rId12" o:title=""/>
          </v:shape>
          <o:OLEObject Type="Embed" ProgID="Origin50.Graph" ShapeID="_x0000_i1026" DrawAspect="Content" ObjectID="_1480175147" r:id="rId13"/>
        </w:object>
      </w:r>
    </w:p>
    <w:p w:rsidR="0045012E" w:rsidRDefault="0045012E" w:rsidP="00C847CB">
      <w:pPr>
        <w:spacing w:before="60" w:after="60" w:line="240" w:lineRule="auto"/>
        <w:jc w:val="center"/>
        <w:rPr>
          <w:sz w:val="20"/>
          <w:szCs w:val="20"/>
        </w:rPr>
      </w:pPr>
      <w:proofErr w:type="gramStart"/>
      <w:r w:rsidRPr="00780D64">
        <w:rPr>
          <w:sz w:val="20"/>
          <w:szCs w:val="20"/>
        </w:rPr>
        <w:t>Hình 2.</w:t>
      </w:r>
      <w:proofErr w:type="gramEnd"/>
      <w:r w:rsidRPr="00780D64">
        <w:rPr>
          <w:sz w:val="20"/>
          <w:szCs w:val="20"/>
        </w:rPr>
        <w:t xml:space="preserve"> Phổ trùng phùng của mẫu Montana II Soil ứng với các năng lượng gate khác nhau trong vùng từ</w:t>
      </w:r>
      <w:r>
        <w:rPr>
          <w:sz w:val="20"/>
          <w:szCs w:val="20"/>
        </w:rPr>
        <w:t xml:space="preserve"> 0-1500</w:t>
      </w:r>
      <w:r w:rsidR="00A5244C">
        <w:rPr>
          <w:sz w:val="20"/>
          <w:szCs w:val="20"/>
        </w:rPr>
        <w:t>keV</w:t>
      </w:r>
    </w:p>
    <w:p w:rsidR="002F7351" w:rsidRDefault="00C77125" w:rsidP="0045012E">
      <w:pPr>
        <w:spacing w:before="60" w:after="60" w:line="240" w:lineRule="auto"/>
        <w:jc w:val="center"/>
        <w:rPr>
          <w:sz w:val="20"/>
          <w:szCs w:val="20"/>
        </w:rPr>
      </w:pPr>
      <w:r w:rsidRPr="00780D64">
        <w:rPr>
          <w:sz w:val="20"/>
          <w:szCs w:val="20"/>
        </w:rPr>
        <w:object w:dxaOrig="4531" w:dyaOrig="6506">
          <v:shape id="_x0000_i1027" type="#_x0000_t75" style="width:231.9pt;height:204.05pt" o:ole="">
            <v:imagedata r:id="rId14" o:title=""/>
          </v:shape>
          <o:OLEObject Type="Embed" ProgID="Origin50.Graph" ShapeID="_x0000_i1027" DrawAspect="Content" ObjectID="_1480175148" r:id="rId15"/>
        </w:object>
      </w:r>
    </w:p>
    <w:p w:rsidR="00BF332E" w:rsidRPr="00780D64" w:rsidRDefault="00BF332E" w:rsidP="00C847CB">
      <w:pPr>
        <w:spacing w:before="60" w:after="60" w:line="240" w:lineRule="auto"/>
        <w:jc w:val="center"/>
        <w:rPr>
          <w:sz w:val="20"/>
          <w:szCs w:val="20"/>
        </w:rPr>
      </w:pPr>
      <w:proofErr w:type="gramStart"/>
      <w:r w:rsidRPr="00780D64">
        <w:rPr>
          <w:sz w:val="20"/>
          <w:szCs w:val="20"/>
        </w:rPr>
        <w:t xml:space="preserve">Hình </w:t>
      </w:r>
      <w:r w:rsidR="00DF0DA2" w:rsidRPr="00780D64">
        <w:rPr>
          <w:sz w:val="20"/>
          <w:szCs w:val="20"/>
        </w:rPr>
        <w:t>3</w:t>
      </w:r>
      <w:r w:rsidRPr="00780D64">
        <w:rPr>
          <w:sz w:val="20"/>
          <w:szCs w:val="20"/>
        </w:rPr>
        <w:t>.</w:t>
      </w:r>
      <w:proofErr w:type="gramEnd"/>
      <w:r w:rsidRPr="00780D64">
        <w:rPr>
          <w:sz w:val="20"/>
          <w:szCs w:val="20"/>
        </w:rPr>
        <w:t xml:space="preserve"> Phổ trùng phùng gamma của mẫu Montana II Soil ứng với các năng lượng gate khác nhau trong vùng từ 50-300 keV.</w:t>
      </w:r>
    </w:p>
    <w:p w:rsidR="004D74AA" w:rsidRPr="00780D64" w:rsidRDefault="00C77125" w:rsidP="00574EF6">
      <w:pPr>
        <w:spacing w:before="60" w:after="60" w:line="240" w:lineRule="auto"/>
        <w:jc w:val="center"/>
        <w:rPr>
          <w:sz w:val="20"/>
          <w:szCs w:val="20"/>
        </w:rPr>
      </w:pPr>
      <w:r w:rsidRPr="00780D64">
        <w:rPr>
          <w:sz w:val="20"/>
          <w:szCs w:val="20"/>
        </w:rPr>
        <w:object w:dxaOrig="6506" w:dyaOrig="4531">
          <v:shape id="_x0000_i1028" type="#_x0000_t75" style="width:232.8pt;height:124.55pt" o:ole="">
            <v:imagedata r:id="rId16" o:title=""/>
          </v:shape>
          <o:OLEObject Type="Embed" ProgID="Origin50.Graph" ShapeID="_x0000_i1028" DrawAspect="Content" ObjectID="_1480175149" r:id="rId17"/>
        </w:object>
      </w:r>
    </w:p>
    <w:p w:rsidR="00212826" w:rsidRPr="00780D64" w:rsidRDefault="00212826" w:rsidP="00574EF6">
      <w:pPr>
        <w:spacing w:before="60" w:after="60" w:line="240" w:lineRule="auto"/>
        <w:ind w:firstLine="357"/>
        <w:jc w:val="center"/>
        <w:rPr>
          <w:sz w:val="20"/>
          <w:szCs w:val="20"/>
        </w:rPr>
      </w:pPr>
      <w:proofErr w:type="gramStart"/>
      <w:r w:rsidRPr="00780D64">
        <w:rPr>
          <w:sz w:val="20"/>
          <w:szCs w:val="20"/>
        </w:rPr>
        <w:t xml:space="preserve">Hình </w:t>
      </w:r>
      <w:r w:rsidR="00DF0DA2" w:rsidRPr="00780D64">
        <w:rPr>
          <w:sz w:val="20"/>
          <w:szCs w:val="20"/>
        </w:rPr>
        <w:t>4</w:t>
      </w:r>
      <w:r w:rsidRPr="00780D64">
        <w:rPr>
          <w:sz w:val="20"/>
          <w:szCs w:val="20"/>
        </w:rPr>
        <w:t>.</w:t>
      </w:r>
      <w:proofErr w:type="gramEnd"/>
      <w:r w:rsidRPr="00780D64">
        <w:rPr>
          <w:sz w:val="20"/>
          <w:szCs w:val="20"/>
        </w:rPr>
        <w:t xml:space="preserve"> Phổ gamma của mẫu </w:t>
      </w:r>
      <w:r w:rsidR="00680A62" w:rsidRPr="00780D64">
        <w:rPr>
          <w:sz w:val="20"/>
          <w:szCs w:val="20"/>
        </w:rPr>
        <w:t>Montana II Soil trong hai chế độ đo</w:t>
      </w:r>
      <w:r w:rsidRPr="00780D64">
        <w:rPr>
          <w:sz w:val="20"/>
          <w:szCs w:val="20"/>
        </w:rPr>
        <w:t>.</w:t>
      </w:r>
    </w:p>
    <w:p w:rsidR="00FB3E6D" w:rsidRPr="00780D64" w:rsidRDefault="00FB3E6D" w:rsidP="00574EF6">
      <w:pPr>
        <w:spacing w:before="60" w:after="60" w:line="240" w:lineRule="auto"/>
        <w:ind w:firstLine="284"/>
        <w:jc w:val="both"/>
        <w:rPr>
          <w:sz w:val="20"/>
          <w:szCs w:val="20"/>
        </w:rPr>
      </w:pPr>
      <w:proofErr w:type="gramStart"/>
      <w:r w:rsidRPr="00780D64">
        <w:rPr>
          <w:sz w:val="20"/>
          <w:szCs w:val="20"/>
        </w:rPr>
        <w:t xml:space="preserve">Trong hình </w:t>
      </w:r>
      <w:r w:rsidR="00DF0DA2" w:rsidRPr="00780D64">
        <w:rPr>
          <w:sz w:val="20"/>
          <w:szCs w:val="20"/>
        </w:rPr>
        <w:t>4</w:t>
      </w:r>
      <w:r w:rsidRPr="00780D64">
        <w:rPr>
          <w:sz w:val="20"/>
          <w:szCs w:val="20"/>
        </w:rPr>
        <w:t xml:space="preserve">, phổ trùng phùng được chọn tương ứng với </w:t>
      </w:r>
      <w:r w:rsidR="00C12971" w:rsidRPr="00780D64">
        <w:rPr>
          <w:sz w:val="20"/>
          <w:szCs w:val="20"/>
        </w:rPr>
        <w:t xml:space="preserve">các sự kiện trùng phùng với đỉnh </w:t>
      </w:r>
      <w:r w:rsidR="00DF0DA2" w:rsidRPr="00780D64">
        <w:rPr>
          <w:sz w:val="20"/>
          <w:szCs w:val="20"/>
        </w:rPr>
        <w:t>264 keV</w:t>
      </w:r>
      <w:r w:rsidR="00C12971" w:rsidRPr="00780D64">
        <w:rPr>
          <w:sz w:val="20"/>
          <w:szCs w:val="20"/>
        </w:rPr>
        <w:t xml:space="preserve"> của </w:t>
      </w:r>
      <w:r w:rsidR="00C12971" w:rsidRPr="00780D64">
        <w:rPr>
          <w:sz w:val="20"/>
          <w:szCs w:val="20"/>
          <w:vertAlign w:val="superscript"/>
        </w:rPr>
        <w:t>75</w:t>
      </w:r>
      <w:r w:rsidR="00C12971" w:rsidRPr="00780D64">
        <w:rPr>
          <w:sz w:val="20"/>
          <w:szCs w:val="20"/>
        </w:rPr>
        <w:t xml:space="preserve">Se ở cả hai detector (gate ở </w:t>
      </w:r>
      <w:r w:rsidR="00DF0DA2" w:rsidRPr="00780D64">
        <w:rPr>
          <w:sz w:val="20"/>
          <w:szCs w:val="20"/>
        </w:rPr>
        <w:t>264</w:t>
      </w:r>
      <w:r w:rsidR="00C12971" w:rsidRPr="00780D64">
        <w:rPr>
          <w:sz w:val="20"/>
          <w:szCs w:val="20"/>
        </w:rPr>
        <w:t xml:space="preserve"> keV).</w:t>
      </w:r>
      <w:proofErr w:type="gramEnd"/>
    </w:p>
    <w:p w:rsidR="00217AE5" w:rsidRPr="00780D64" w:rsidRDefault="00217AE5" w:rsidP="00C847CB">
      <w:pPr>
        <w:spacing w:before="60" w:after="60" w:line="240" w:lineRule="auto"/>
        <w:jc w:val="both"/>
        <w:rPr>
          <w:sz w:val="20"/>
          <w:szCs w:val="20"/>
        </w:rPr>
      </w:pPr>
      <w:proofErr w:type="gramStart"/>
      <w:r w:rsidRPr="00780D64">
        <w:rPr>
          <w:sz w:val="20"/>
          <w:szCs w:val="20"/>
        </w:rPr>
        <w:t>Bảng 1.</w:t>
      </w:r>
      <w:proofErr w:type="gramEnd"/>
      <w:r w:rsidRPr="00780D64">
        <w:rPr>
          <w:sz w:val="20"/>
          <w:szCs w:val="20"/>
        </w:rPr>
        <w:t xml:space="preserve"> </w:t>
      </w:r>
      <w:r w:rsidR="00212826" w:rsidRPr="00780D64">
        <w:rPr>
          <w:sz w:val="20"/>
          <w:szCs w:val="20"/>
        </w:rPr>
        <w:t>Diện tích, tỉ số đỉnh/phông và giới hạ</w:t>
      </w:r>
      <w:r w:rsidR="003C5EB7" w:rsidRPr="00780D64">
        <w:rPr>
          <w:sz w:val="20"/>
          <w:szCs w:val="20"/>
        </w:rPr>
        <w:t>n phát hiện</w:t>
      </w:r>
      <w:r w:rsidR="00212826" w:rsidRPr="00780D64">
        <w:rPr>
          <w:sz w:val="20"/>
          <w:szCs w:val="20"/>
        </w:rPr>
        <w:t xml:space="preserve"> của Se trong mẫu Montana II Soil tương ứng với hai chế độ đo.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06"/>
        <w:gridCol w:w="601"/>
        <w:gridCol w:w="485"/>
        <w:gridCol w:w="597"/>
        <w:gridCol w:w="485"/>
        <w:gridCol w:w="601"/>
      </w:tblGrid>
      <w:tr w:rsidR="00FA5CD3" w:rsidRPr="00780D64" w:rsidTr="004508FA">
        <w:trPr>
          <w:jc w:val="center"/>
        </w:trPr>
        <w:tc>
          <w:tcPr>
            <w:tcW w:w="1058" w:type="dxa"/>
            <w:vMerge w:val="restart"/>
            <w:shd w:val="clear" w:color="auto" w:fill="auto"/>
            <w:tcMar>
              <w:left w:w="28" w:type="dxa"/>
              <w:right w:w="28" w:type="dxa"/>
            </w:tcMar>
          </w:tcPr>
          <w:p w:rsidR="003822A8" w:rsidRPr="00780D64" w:rsidRDefault="003822A8" w:rsidP="00C847CB">
            <w:pPr>
              <w:spacing w:before="60" w:after="60" w:line="240" w:lineRule="auto"/>
              <w:jc w:val="both"/>
              <w:rPr>
                <w:sz w:val="20"/>
                <w:szCs w:val="20"/>
              </w:rPr>
            </w:pPr>
            <w:r w:rsidRPr="00780D64">
              <w:rPr>
                <w:sz w:val="20"/>
                <w:szCs w:val="20"/>
              </w:rPr>
              <w:t>Đỉnh (keV)</w:t>
            </w:r>
          </w:p>
        </w:tc>
        <w:tc>
          <w:tcPr>
            <w:tcW w:w="1507" w:type="dxa"/>
            <w:gridSpan w:val="2"/>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Diện tích đỉnh</w:t>
            </w:r>
          </w:p>
        </w:tc>
        <w:tc>
          <w:tcPr>
            <w:tcW w:w="1082" w:type="dxa"/>
            <w:gridSpan w:val="2"/>
            <w:shd w:val="clear" w:color="auto" w:fill="auto"/>
            <w:tcMar>
              <w:left w:w="28" w:type="dxa"/>
              <w:right w:w="28" w:type="dxa"/>
            </w:tcMar>
          </w:tcPr>
          <w:p w:rsidR="003822A8" w:rsidRPr="00780D64" w:rsidRDefault="00275B2A" w:rsidP="00C847CB">
            <w:pPr>
              <w:spacing w:before="60" w:after="60" w:line="240" w:lineRule="auto"/>
              <w:jc w:val="center"/>
              <w:rPr>
                <w:sz w:val="20"/>
                <w:szCs w:val="20"/>
              </w:rPr>
            </w:pPr>
            <w:r w:rsidRPr="00780D64">
              <w:rPr>
                <w:sz w:val="20"/>
                <w:szCs w:val="20"/>
              </w:rPr>
              <w:t>Tỉ số đỉnh trên phông</w:t>
            </w:r>
          </w:p>
        </w:tc>
        <w:tc>
          <w:tcPr>
            <w:tcW w:w="1086" w:type="dxa"/>
            <w:gridSpan w:val="2"/>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Giới hạn phát hiện</w:t>
            </w:r>
            <w:r w:rsidR="00275B2A" w:rsidRPr="00780D64">
              <w:rPr>
                <w:sz w:val="20"/>
                <w:szCs w:val="20"/>
              </w:rPr>
              <w:t xml:space="preserve"> (ppm)</w:t>
            </w:r>
          </w:p>
        </w:tc>
      </w:tr>
      <w:tr w:rsidR="00FA5CD3" w:rsidRPr="00780D64" w:rsidTr="004508FA">
        <w:trPr>
          <w:jc w:val="center"/>
        </w:trPr>
        <w:tc>
          <w:tcPr>
            <w:tcW w:w="1058" w:type="dxa"/>
            <w:vMerge/>
            <w:shd w:val="clear" w:color="auto" w:fill="auto"/>
            <w:tcMar>
              <w:left w:w="28" w:type="dxa"/>
              <w:right w:w="28" w:type="dxa"/>
            </w:tcMar>
          </w:tcPr>
          <w:p w:rsidR="003822A8" w:rsidRPr="00780D64" w:rsidRDefault="003822A8" w:rsidP="00C847CB">
            <w:pPr>
              <w:spacing w:before="60" w:after="60" w:line="240" w:lineRule="auto"/>
              <w:jc w:val="both"/>
              <w:rPr>
                <w:sz w:val="20"/>
                <w:szCs w:val="20"/>
              </w:rPr>
            </w:pPr>
          </w:p>
        </w:tc>
        <w:tc>
          <w:tcPr>
            <w:tcW w:w="906"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Đơn kênh</w:t>
            </w:r>
          </w:p>
        </w:tc>
        <w:tc>
          <w:tcPr>
            <w:tcW w:w="601"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Trùng phùng</w:t>
            </w:r>
          </w:p>
        </w:tc>
        <w:tc>
          <w:tcPr>
            <w:tcW w:w="485"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Đơn kênh</w:t>
            </w:r>
          </w:p>
        </w:tc>
        <w:tc>
          <w:tcPr>
            <w:tcW w:w="597"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Trùng phùng</w:t>
            </w:r>
          </w:p>
        </w:tc>
        <w:tc>
          <w:tcPr>
            <w:tcW w:w="485"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Đơn kênh</w:t>
            </w:r>
          </w:p>
        </w:tc>
        <w:tc>
          <w:tcPr>
            <w:tcW w:w="601" w:type="dxa"/>
            <w:shd w:val="clear" w:color="auto" w:fill="auto"/>
            <w:tcMar>
              <w:left w:w="28" w:type="dxa"/>
              <w:right w:w="28" w:type="dxa"/>
            </w:tcMar>
          </w:tcPr>
          <w:p w:rsidR="003822A8" w:rsidRPr="00780D64" w:rsidRDefault="003822A8" w:rsidP="00C847CB">
            <w:pPr>
              <w:spacing w:before="60" w:after="60" w:line="240" w:lineRule="auto"/>
              <w:jc w:val="center"/>
              <w:rPr>
                <w:sz w:val="20"/>
                <w:szCs w:val="20"/>
              </w:rPr>
            </w:pPr>
            <w:r w:rsidRPr="00780D64">
              <w:rPr>
                <w:sz w:val="20"/>
                <w:szCs w:val="20"/>
              </w:rPr>
              <w:t>Trùng phùng</w:t>
            </w:r>
          </w:p>
        </w:tc>
      </w:tr>
      <w:tr w:rsidR="00FA5CD3" w:rsidRPr="00780D64" w:rsidTr="004508FA">
        <w:trPr>
          <w:jc w:val="center"/>
        </w:trPr>
        <w:tc>
          <w:tcPr>
            <w:tcW w:w="1058" w:type="dxa"/>
            <w:shd w:val="clear" w:color="auto" w:fill="auto"/>
            <w:tcMar>
              <w:left w:w="28" w:type="dxa"/>
              <w:right w:w="28" w:type="dxa"/>
            </w:tcMar>
          </w:tcPr>
          <w:p w:rsidR="001A7A48" w:rsidRPr="00780D64" w:rsidRDefault="001A7A48" w:rsidP="00C847CB">
            <w:pPr>
              <w:spacing w:before="60" w:after="60" w:line="240" w:lineRule="auto"/>
              <w:jc w:val="center"/>
              <w:rPr>
                <w:sz w:val="20"/>
                <w:szCs w:val="20"/>
              </w:rPr>
            </w:pPr>
            <w:r w:rsidRPr="00780D64">
              <w:rPr>
                <w:sz w:val="20"/>
                <w:szCs w:val="20"/>
              </w:rPr>
              <w:t>121 (Se, Eu)</w:t>
            </w:r>
          </w:p>
        </w:tc>
        <w:tc>
          <w:tcPr>
            <w:tcW w:w="906"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6924(104)</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16(1)</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0.29</w:t>
            </w:r>
          </w:p>
        </w:tc>
        <w:tc>
          <w:tcPr>
            <w:tcW w:w="597"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0.84</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0.21</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2.34</w:t>
            </w:r>
          </w:p>
        </w:tc>
      </w:tr>
      <w:tr w:rsidR="00FA5CD3" w:rsidRPr="00780D64" w:rsidTr="004508FA">
        <w:trPr>
          <w:jc w:val="center"/>
        </w:trPr>
        <w:tc>
          <w:tcPr>
            <w:tcW w:w="1058" w:type="dxa"/>
            <w:shd w:val="clear" w:color="auto" w:fill="auto"/>
            <w:tcMar>
              <w:left w:w="28" w:type="dxa"/>
              <w:right w:w="28" w:type="dxa"/>
            </w:tcMar>
          </w:tcPr>
          <w:p w:rsidR="001A7A48" w:rsidRPr="00780D64" w:rsidRDefault="001A7A48" w:rsidP="00C847CB">
            <w:pPr>
              <w:spacing w:before="60" w:after="60" w:line="240" w:lineRule="auto"/>
              <w:jc w:val="center"/>
              <w:rPr>
                <w:sz w:val="20"/>
                <w:szCs w:val="20"/>
              </w:rPr>
            </w:pPr>
            <w:r w:rsidRPr="00780D64">
              <w:rPr>
                <w:sz w:val="20"/>
                <w:szCs w:val="20"/>
              </w:rPr>
              <w:t>136 (Se)</w:t>
            </w:r>
          </w:p>
        </w:tc>
        <w:tc>
          <w:tcPr>
            <w:tcW w:w="906"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939(170)</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40(3)</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0.04</w:t>
            </w:r>
          </w:p>
        </w:tc>
        <w:tc>
          <w:tcPr>
            <w:tcW w:w="597"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6.67</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1.52</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0.53</w:t>
            </w:r>
          </w:p>
        </w:tc>
      </w:tr>
      <w:tr w:rsidR="00FA5CD3" w:rsidRPr="00780D64" w:rsidTr="004508FA">
        <w:trPr>
          <w:jc w:val="center"/>
        </w:trPr>
        <w:tc>
          <w:tcPr>
            <w:tcW w:w="1058" w:type="dxa"/>
            <w:shd w:val="clear" w:color="auto" w:fill="auto"/>
            <w:tcMar>
              <w:left w:w="28" w:type="dxa"/>
              <w:right w:w="28" w:type="dxa"/>
            </w:tcMar>
          </w:tcPr>
          <w:p w:rsidR="001A7A48" w:rsidRPr="00780D64" w:rsidRDefault="001A7A48" w:rsidP="00C847CB">
            <w:pPr>
              <w:spacing w:before="60" w:after="60" w:line="240" w:lineRule="auto"/>
              <w:jc w:val="center"/>
              <w:rPr>
                <w:sz w:val="20"/>
                <w:szCs w:val="20"/>
              </w:rPr>
            </w:pPr>
            <w:r w:rsidRPr="00780D64">
              <w:rPr>
                <w:sz w:val="20"/>
                <w:szCs w:val="20"/>
              </w:rPr>
              <w:t>264 (Se+Hf)</w:t>
            </w:r>
          </w:p>
        </w:tc>
        <w:tc>
          <w:tcPr>
            <w:tcW w:w="906"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912(196)</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45(3)</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0.05</w:t>
            </w:r>
          </w:p>
        </w:tc>
        <w:tc>
          <w:tcPr>
            <w:tcW w:w="597"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6.43</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1.41</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0.51</w:t>
            </w:r>
          </w:p>
        </w:tc>
      </w:tr>
      <w:tr w:rsidR="00FA5CD3" w:rsidRPr="00780D64" w:rsidTr="004508FA">
        <w:trPr>
          <w:jc w:val="center"/>
        </w:trPr>
        <w:tc>
          <w:tcPr>
            <w:tcW w:w="1058" w:type="dxa"/>
            <w:shd w:val="clear" w:color="auto" w:fill="auto"/>
            <w:tcMar>
              <w:left w:w="28" w:type="dxa"/>
              <w:right w:w="28" w:type="dxa"/>
            </w:tcMar>
          </w:tcPr>
          <w:p w:rsidR="001A7A48" w:rsidRPr="00780D64" w:rsidRDefault="001A7A48" w:rsidP="00C847CB">
            <w:pPr>
              <w:spacing w:before="60" w:after="60" w:line="240" w:lineRule="auto"/>
              <w:jc w:val="center"/>
              <w:rPr>
                <w:sz w:val="20"/>
                <w:szCs w:val="20"/>
              </w:rPr>
            </w:pPr>
            <w:r w:rsidRPr="00780D64">
              <w:rPr>
                <w:sz w:val="20"/>
                <w:szCs w:val="20"/>
              </w:rPr>
              <w:t>279(Se+Hg)</w:t>
            </w:r>
          </w:p>
        </w:tc>
        <w:tc>
          <w:tcPr>
            <w:tcW w:w="906"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262(28)</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26(2)</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0.01</w:t>
            </w:r>
          </w:p>
        </w:tc>
        <w:tc>
          <w:tcPr>
            <w:tcW w:w="597"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13</w:t>
            </w:r>
          </w:p>
        </w:tc>
        <w:tc>
          <w:tcPr>
            <w:tcW w:w="485"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4.9</w:t>
            </w:r>
          </w:p>
        </w:tc>
        <w:tc>
          <w:tcPr>
            <w:tcW w:w="601" w:type="dxa"/>
            <w:shd w:val="clear" w:color="auto" w:fill="auto"/>
            <w:tcMar>
              <w:left w:w="28" w:type="dxa"/>
              <w:right w:w="28" w:type="dxa"/>
            </w:tcMar>
            <w:vAlign w:val="center"/>
          </w:tcPr>
          <w:p w:rsidR="001A7A48" w:rsidRPr="00780D64" w:rsidRDefault="001A7A48" w:rsidP="00C847CB">
            <w:pPr>
              <w:spacing w:before="60" w:after="60" w:line="240" w:lineRule="auto"/>
              <w:jc w:val="center"/>
              <w:rPr>
                <w:sz w:val="20"/>
                <w:szCs w:val="20"/>
              </w:rPr>
            </w:pPr>
            <w:r w:rsidRPr="00780D64">
              <w:rPr>
                <w:sz w:val="20"/>
                <w:szCs w:val="20"/>
              </w:rPr>
              <w:t>0.23</w:t>
            </w:r>
          </w:p>
        </w:tc>
      </w:tr>
    </w:tbl>
    <w:p w:rsidR="004508FA" w:rsidRPr="004508FA" w:rsidRDefault="004508FA" w:rsidP="004508FA">
      <w:pPr>
        <w:spacing w:before="120" w:after="120"/>
        <w:jc w:val="center"/>
        <w:rPr>
          <w:sz w:val="20"/>
          <w:szCs w:val="20"/>
          <w:lang w:val="nl-NL"/>
        </w:rPr>
      </w:pPr>
      <w:r w:rsidRPr="004508FA">
        <w:rPr>
          <w:sz w:val="20"/>
          <w:szCs w:val="20"/>
          <w:lang w:val="nl-NL"/>
        </w:rPr>
        <w:t>Bảng 2. Hàm lượng Se trong mẫu SRM-2711a khi đo đơn kênh và đo trùng phùng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597"/>
        <w:gridCol w:w="1731"/>
      </w:tblGrid>
      <w:tr w:rsidR="004508FA" w:rsidRPr="004508FA" w:rsidTr="008E2E9B">
        <w:trPr>
          <w:jc w:val="center"/>
        </w:trPr>
        <w:tc>
          <w:tcPr>
            <w:tcW w:w="2448" w:type="dxa"/>
            <w:shd w:val="clear" w:color="auto" w:fill="auto"/>
          </w:tcPr>
          <w:p w:rsidR="004508FA" w:rsidRPr="004508FA" w:rsidRDefault="004508FA" w:rsidP="008E2E9B">
            <w:pPr>
              <w:spacing w:before="120" w:after="120"/>
              <w:jc w:val="center"/>
              <w:rPr>
                <w:sz w:val="20"/>
                <w:szCs w:val="20"/>
                <w:lang w:val="nl-NL"/>
              </w:rPr>
            </w:pPr>
            <w:r w:rsidRPr="004508FA">
              <w:rPr>
                <w:sz w:val="20"/>
                <w:szCs w:val="20"/>
                <w:lang w:val="nl-NL"/>
              </w:rPr>
              <w:lastRenderedPageBreak/>
              <w:t>Hàm lượng xác định bằng phương pháp đơn kênh (ppm)</w:t>
            </w:r>
          </w:p>
        </w:tc>
        <w:tc>
          <w:tcPr>
            <w:tcW w:w="2520" w:type="dxa"/>
            <w:shd w:val="clear" w:color="auto" w:fill="auto"/>
          </w:tcPr>
          <w:p w:rsidR="004508FA" w:rsidRPr="004508FA" w:rsidRDefault="004508FA" w:rsidP="008E2E9B">
            <w:pPr>
              <w:spacing w:before="120" w:after="120"/>
              <w:jc w:val="center"/>
              <w:rPr>
                <w:sz w:val="20"/>
                <w:szCs w:val="20"/>
                <w:lang w:val="nl-NL"/>
              </w:rPr>
            </w:pPr>
            <w:r w:rsidRPr="004508FA">
              <w:rPr>
                <w:sz w:val="20"/>
                <w:szCs w:val="20"/>
                <w:lang w:val="nl-NL"/>
              </w:rPr>
              <w:t>Hàm lượng xác định bằng phương pháp trùng phùng (ppm)</w:t>
            </w:r>
          </w:p>
        </w:tc>
        <w:tc>
          <w:tcPr>
            <w:tcW w:w="2700" w:type="dxa"/>
            <w:shd w:val="clear" w:color="auto" w:fill="auto"/>
          </w:tcPr>
          <w:p w:rsidR="004508FA" w:rsidRPr="004508FA" w:rsidRDefault="004508FA" w:rsidP="008E2E9B">
            <w:pPr>
              <w:spacing w:before="120" w:after="120"/>
              <w:jc w:val="center"/>
              <w:rPr>
                <w:sz w:val="20"/>
                <w:szCs w:val="20"/>
                <w:lang w:val="nl-NL"/>
              </w:rPr>
            </w:pPr>
            <w:r w:rsidRPr="004508FA">
              <w:rPr>
                <w:sz w:val="20"/>
                <w:szCs w:val="20"/>
                <w:lang w:val="nl-NL"/>
              </w:rPr>
              <w:t>Certified của mẫu SRM-2711a</w:t>
            </w:r>
          </w:p>
        </w:tc>
      </w:tr>
      <w:tr w:rsidR="004508FA" w:rsidRPr="004508FA" w:rsidTr="008E2E9B">
        <w:trPr>
          <w:jc w:val="center"/>
        </w:trPr>
        <w:tc>
          <w:tcPr>
            <w:tcW w:w="2448" w:type="dxa"/>
            <w:shd w:val="clear" w:color="auto" w:fill="auto"/>
          </w:tcPr>
          <w:p w:rsidR="004508FA" w:rsidRPr="004508FA" w:rsidRDefault="00A3044C" w:rsidP="008E2E9B">
            <w:pPr>
              <w:spacing w:before="120" w:after="120"/>
              <w:jc w:val="center"/>
              <w:rPr>
                <w:sz w:val="20"/>
                <w:szCs w:val="20"/>
                <w:lang w:val="nl-NL"/>
              </w:rPr>
            </w:pPr>
            <w:r>
              <w:rPr>
                <w:sz w:val="20"/>
                <w:szCs w:val="20"/>
                <w:lang w:val="nl-NL"/>
              </w:rPr>
              <w:t>1,</w:t>
            </w:r>
            <w:r w:rsidR="004508FA" w:rsidRPr="004508FA">
              <w:rPr>
                <w:sz w:val="20"/>
                <w:szCs w:val="20"/>
                <w:lang w:val="nl-NL"/>
              </w:rPr>
              <w:t>82</w:t>
            </w:r>
            <w:r w:rsidR="001B1731">
              <w:rPr>
                <w:sz w:val="20"/>
                <w:szCs w:val="20"/>
                <w:lang w:val="nl-NL"/>
              </w:rPr>
              <w:t xml:space="preserve"> ± 0,43</w:t>
            </w:r>
          </w:p>
        </w:tc>
        <w:tc>
          <w:tcPr>
            <w:tcW w:w="2520" w:type="dxa"/>
            <w:shd w:val="clear" w:color="auto" w:fill="auto"/>
          </w:tcPr>
          <w:p w:rsidR="004508FA" w:rsidRPr="004508FA" w:rsidRDefault="00A3044C" w:rsidP="008E2E9B">
            <w:pPr>
              <w:spacing w:before="120" w:after="120"/>
              <w:jc w:val="center"/>
              <w:rPr>
                <w:sz w:val="20"/>
                <w:szCs w:val="20"/>
                <w:lang w:val="nl-NL"/>
              </w:rPr>
            </w:pPr>
            <w:r>
              <w:rPr>
                <w:sz w:val="20"/>
                <w:szCs w:val="20"/>
                <w:lang w:val="nl-NL"/>
              </w:rPr>
              <w:t>1,</w:t>
            </w:r>
            <w:r w:rsidR="001B1731">
              <w:rPr>
                <w:sz w:val="20"/>
                <w:szCs w:val="20"/>
                <w:lang w:val="nl-NL"/>
              </w:rPr>
              <w:t>86 ± 0,13</w:t>
            </w:r>
          </w:p>
        </w:tc>
        <w:tc>
          <w:tcPr>
            <w:tcW w:w="2700" w:type="dxa"/>
            <w:shd w:val="clear" w:color="auto" w:fill="auto"/>
          </w:tcPr>
          <w:p w:rsidR="004508FA" w:rsidRPr="004508FA" w:rsidRDefault="004508FA" w:rsidP="008E2E9B">
            <w:pPr>
              <w:spacing w:before="120" w:after="120"/>
              <w:jc w:val="center"/>
              <w:rPr>
                <w:sz w:val="20"/>
                <w:szCs w:val="20"/>
                <w:lang w:val="nl-NL"/>
              </w:rPr>
            </w:pPr>
            <w:r w:rsidRPr="004508FA">
              <w:rPr>
                <w:sz w:val="20"/>
                <w:szCs w:val="20"/>
                <w:lang w:val="nl-NL"/>
              </w:rPr>
              <w:t>2</w:t>
            </w:r>
          </w:p>
        </w:tc>
      </w:tr>
    </w:tbl>
    <w:p w:rsidR="004508FA" w:rsidRDefault="00B5732B" w:rsidP="00C847CB">
      <w:pPr>
        <w:spacing w:before="60" w:after="60" w:line="240" w:lineRule="auto"/>
        <w:jc w:val="both"/>
        <w:rPr>
          <w:b/>
          <w:sz w:val="20"/>
          <w:szCs w:val="20"/>
        </w:rPr>
      </w:pPr>
      <w:r w:rsidRPr="00780D64">
        <w:rPr>
          <w:b/>
          <w:sz w:val="20"/>
          <w:szCs w:val="20"/>
        </w:rPr>
        <w:tab/>
      </w:r>
    </w:p>
    <w:p w:rsidR="00B5732B" w:rsidRPr="00780D64" w:rsidRDefault="003F64F9" w:rsidP="00C847CB">
      <w:pPr>
        <w:spacing w:before="60" w:after="60" w:line="240" w:lineRule="auto"/>
        <w:jc w:val="both"/>
        <w:rPr>
          <w:b/>
          <w:sz w:val="20"/>
          <w:szCs w:val="20"/>
        </w:rPr>
      </w:pPr>
      <w:r>
        <w:rPr>
          <w:b/>
          <w:sz w:val="20"/>
          <w:szCs w:val="20"/>
        </w:rPr>
        <w:t>4</w:t>
      </w:r>
      <w:r w:rsidR="00916727" w:rsidRPr="00780D64">
        <w:rPr>
          <w:b/>
          <w:sz w:val="20"/>
          <w:szCs w:val="20"/>
        </w:rPr>
        <w:t>.2</w:t>
      </w:r>
      <w:r w:rsidR="00B5732B" w:rsidRPr="00780D64">
        <w:rPr>
          <w:b/>
          <w:sz w:val="20"/>
          <w:szCs w:val="20"/>
        </w:rPr>
        <w:t xml:space="preserve">. </w:t>
      </w:r>
      <w:r>
        <w:rPr>
          <w:b/>
          <w:sz w:val="20"/>
          <w:szCs w:val="20"/>
        </w:rPr>
        <w:t>Bình</w:t>
      </w:r>
      <w:r w:rsidRPr="00780D64">
        <w:rPr>
          <w:b/>
          <w:sz w:val="20"/>
          <w:szCs w:val="20"/>
        </w:rPr>
        <w:t xml:space="preserve"> </w:t>
      </w:r>
      <w:r w:rsidR="00B5732B" w:rsidRPr="00780D64">
        <w:rPr>
          <w:b/>
          <w:sz w:val="20"/>
          <w:szCs w:val="20"/>
        </w:rPr>
        <w:t>luận</w:t>
      </w:r>
    </w:p>
    <w:p w:rsidR="00DD70F8" w:rsidRPr="00780D64" w:rsidRDefault="00DD70F8" w:rsidP="00C847CB">
      <w:pPr>
        <w:spacing w:before="60" w:after="60" w:line="240" w:lineRule="auto"/>
        <w:ind w:firstLine="284"/>
        <w:jc w:val="both"/>
        <w:rPr>
          <w:sz w:val="20"/>
          <w:szCs w:val="20"/>
        </w:rPr>
      </w:pPr>
      <w:r w:rsidRPr="00780D64">
        <w:rPr>
          <w:sz w:val="20"/>
          <w:szCs w:val="20"/>
        </w:rPr>
        <w:t xml:space="preserve">Từ các phổ trùng phùng gamma-gamma trên hình 2, có thể đánh giá được mức độ ảnh hưởng của các đồng vị vào các đỉnh của </w:t>
      </w:r>
      <w:r w:rsidRPr="00780D64">
        <w:rPr>
          <w:sz w:val="20"/>
          <w:szCs w:val="20"/>
          <w:vertAlign w:val="superscript"/>
        </w:rPr>
        <w:t>75</w:t>
      </w:r>
      <w:r w:rsidRPr="00780D64">
        <w:rPr>
          <w:sz w:val="20"/>
          <w:szCs w:val="20"/>
        </w:rPr>
        <w:t xml:space="preserve">Se. Với phổ gate ở năng lượng 279 keV, đỉnh này có cường độ phát khá bé do đó diện tích đỉnh 121 keV thu được nhỏ. Phổ gate ở năng lượng 121 keV sẽ bị ảnh hưởng của các đồng vị </w:t>
      </w:r>
      <w:r w:rsidRPr="00780D64">
        <w:rPr>
          <w:sz w:val="20"/>
          <w:szCs w:val="20"/>
          <w:vertAlign w:val="superscript"/>
        </w:rPr>
        <w:t>152</w:t>
      </w:r>
      <w:r w:rsidRPr="00780D64">
        <w:rPr>
          <w:sz w:val="20"/>
          <w:szCs w:val="20"/>
        </w:rPr>
        <w:t>Eu,</w:t>
      </w:r>
      <w:r w:rsidR="008D50B8" w:rsidRPr="00780D64">
        <w:rPr>
          <w:sz w:val="20"/>
          <w:szCs w:val="20"/>
        </w:rPr>
        <w:t xml:space="preserve"> và đây là cặp phân rã nối tầng với đỉnh 279 keV do đó diện tích đỉnh </w:t>
      </w:r>
      <w:proofErr w:type="gramStart"/>
      <w:r w:rsidR="008D50B8" w:rsidRPr="00780D64">
        <w:rPr>
          <w:sz w:val="20"/>
          <w:szCs w:val="20"/>
        </w:rPr>
        <w:t>thu</w:t>
      </w:r>
      <w:proofErr w:type="gramEnd"/>
      <w:r w:rsidR="008D50B8" w:rsidRPr="00780D64">
        <w:rPr>
          <w:sz w:val="20"/>
          <w:szCs w:val="20"/>
        </w:rPr>
        <w:t xml:space="preserve"> được sẽ có thống kê thấp. </w:t>
      </w:r>
    </w:p>
    <w:p w:rsidR="008769B9" w:rsidRPr="00780D64" w:rsidRDefault="005242D2" w:rsidP="00C847CB">
      <w:pPr>
        <w:spacing w:before="60" w:after="60" w:line="240" w:lineRule="auto"/>
        <w:ind w:firstLine="284"/>
        <w:jc w:val="both"/>
        <w:rPr>
          <w:sz w:val="20"/>
          <w:szCs w:val="20"/>
        </w:rPr>
      </w:pPr>
      <w:proofErr w:type="gramStart"/>
      <w:r w:rsidRPr="00780D64">
        <w:rPr>
          <w:sz w:val="20"/>
          <w:szCs w:val="20"/>
        </w:rPr>
        <w:t>Khi xét cặp gamma phân rã gamma nối tầng 136 keV và 264 keV, đây là cặp phân rã gamma nối tầng có cường độ phát lớn (~50%).</w:t>
      </w:r>
      <w:proofErr w:type="gramEnd"/>
      <w:r w:rsidRPr="00780D64">
        <w:rPr>
          <w:sz w:val="20"/>
          <w:szCs w:val="20"/>
        </w:rPr>
        <w:t xml:space="preserve"> Nếu sử dụng đỉnh 136 keV để gate, do đỉnh này gần với đỉnh 133 keV của </w:t>
      </w:r>
      <w:r w:rsidRPr="00780D64">
        <w:rPr>
          <w:sz w:val="20"/>
          <w:szCs w:val="20"/>
          <w:vertAlign w:val="superscript"/>
        </w:rPr>
        <w:t>182</w:t>
      </w:r>
      <w:r w:rsidRPr="00780D64">
        <w:rPr>
          <w:sz w:val="20"/>
          <w:szCs w:val="20"/>
        </w:rPr>
        <w:t xml:space="preserve">Ta do đó việc chọn lựa vùng phông để bù là khó khăn và dễ bị ảnh hưởng của các đỉnh gamma nối tầng của </w:t>
      </w:r>
      <w:r w:rsidRPr="00780D64">
        <w:rPr>
          <w:sz w:val="20"/>
          <w:szCs w:val="20"/>
          <w:vertAlign w:val="superscript"/>
        </w:rPr>
        <w:t>181</w:t>
      </w:r>
      <w:r w:rsidRPr="00780D64">
        <w:rPr>
          <w:sz w:val="20"/>
          <w:szCs w:val="20"/>
        </w:rPr>
        <w:t>Hf.</w:t>
      </w:r>
      <w:r w:rsidR="000818C1" w:rsidRPr="00780D64">
        <w:rPr>
          <w:sz w:val="20"/>
          <w:szCs w:val="20"/>
        </w:rPr>
        <w:t xml:space="preserve"> Nếu sử dụng đỉnh 264 keV để gate, đỉnh này bị ảnh hưởng bởi </w:t>
      </w:r>
      <w:r w:rsidR="000818C1" w:rsidRPr="00780D64">
        <w:rPr>
          <w:sz w:val="20"/>
          <w:szCs w:val="20"/>
          <w:vertAlign w:val="superscript"/>
        </w:rPr>
        <w:t>182</w:t>
      </w:r>
      <w:r w:rsidR="000818C1" w:rsidRPr="00780D64">
        <w:rPr>
          <w:sz w:val="20"/>
          <w:szCs w:val="20"/>
        </w:rPr>
        <w:t xml:space="preserve">Ta, nhưng nếu so sánh về cường độ phát thì mức độ đóng góp rất nhỏ (~3,6%) nên khả năng phân tách đỉnh 136 keV ra khỏi các đỉnh nhiễu lớn hơn nhiều so với khi sử dụng các đỉnh gate khác. </w:t>
      </w:r>
      <w:proofErr w:type="gramStart"/>
      <w:r w:rsidR="004E4C13" w:rsidRPr="00780D64">
        <w:rPr>
          <w:sz w:val="20"/>
          <w:szCs w:val="20"/>
        </w:rPr>
        <w:t>Hình 3 là biểu diễn các phổ trùng phùng tương ứng với các năng lượng trong vùng 50-300 keV cho thấy rõ điề</w:t>
      </w:r>
      <w:r w:rsidR="008769B9" w:rsidRPr="00780D64">
        <w:rPr>
          <w:sz w:val="20"/>
          <w:szCs w:val="20"/>
        </w:rPr>
        <w:t>u đó.</w:t>
      </w:r>
      <w:proofErr w:type="gramEnd"/>
      <w:r w:rsidR="008769B9" w:rsidRPr="00780D64">
        <w:rPr>
          <w:sz w:val="20"/>
          <w:szCs w:val="20"/>
        </w:rPr>
        <w:t xml:space="preserve"> </w:t>
      </w:r>
      <w:proofErr w:type="gramStart"/>
      <w:r w:rsidR="008769B9" w:rsidRPr="00780D64">
        <w:rPr>
          <w:sz w:val="20"/>
          <w:szCs w:val="20"/>
        </w:rPr>
        <w:t xml:space="preserve">Như vậy có thể thấy trong các năng lượng có thể sử dụng để gate trong chế độ trùng phùng cho phân tích </w:t>
      </w:r>
      <w:r w:rsidR="008769B9" w:rsidRPr="00780D64">
        <w:rPr>
          <w:sz w:val="20"/>
          <w:szCs w:val="20"/>
          <w:vertAlign w:val="superscript"/>
        </w:rPr>
        <w:t>75</w:t>
      </w:r>
      <w:r w:rsidR="008769B9" w:rsidRPr="00780D64">
        <w:rPr>
          <w:sz w:val="20"/>
          <w:szCs w:val="20"/>
        </w:rPr>
        <w:t>Se thì chỉ có đỉnh 264 keV là thích hợp nhất.</w:t>
      </w:r>
      <w:proofErr w:type="gramEnd"/>
    </w:p>
    <w:p w:rsidR="008769B9" w:rsidRPr="00780D64" w:rsidRDefault="008769B9" w:rsidP="00C847CB">
      <w:pPr>
        <w:spacing w:before="60" w:after="60" w:line="240" w:lineRule="auto"/>
        <w:ind w:firstLine="284"/>
        <w:jc w:val="both"/>
        <w:rPr>
          <w:sz w:val="20"/>
          <w:szCs w:val="20"/>
        </w:rPr>
      </w:pPr>
      <w:r w:rsidRPr="00780D64">
        <w:rPr>
          <w:sz w:val="20"/>
          <w:szCs w:val="20"/>
        </w:rPr>
        <w:t>Kết quả trong bảng 1 và phổ trên hình 4 cho thấy khi sử dụng phương pháp đo trùng phùng gamma-gamma để phân tích Se bằng phân tích kích hoạ</w:t>
      </w:r>
      <w:r w:rsidR="002937A2" w:rsidRPr="00780D64">
        <w:rPr>
          <w:sz w:val="20"/>
          <w:szCs w:val="20"/>
        </w:rPr>
        <w:t>t nơ</w:t>
      </w:r>
      <w:r w:rsidRPr="00780D64">
        <w:rPr>
          <w:sz w:val="20"/>
          <w:szCs w:val="20"/>
        </w:rPr>
        <w:t xml:space="preserve">tron qua đồng vị </w:t>
      </w:r>
      <w:r w:rsidRPr="00780D64">
        <w:rPr>
          <w:sz w:val="20"/>
          <w:szCs w:val="20"/>
          <w:vertAlign w:val="superscript"/>
        </w:rPr>
        <w:t>75</w:t>
      </w:r>
      <w:r w:rsidRPr="00780D64">
        <w:rPr>
          <w:sz w:val="20"/>
          <w:szCs w:val="20"/>
        </w:rPr>
        <w:t>Se, giới hạn phát hiệ</w:t>
      </w:r>
      <w:r w:rsidR="00283685">
        <w:rPr>
          <w:sz w:val="20"/>
          <w:szCs w:val="20"/>
        </w:rPr>
        <w:t>n đã tăng lên ~ 2</w:t>
      </w:r>
      <w:proofErr w:type="gramStart"/>
      <w:r w:rsidR="00283685">
        <w:rPr>
          <w:sz w:val="20"/>
          <w:szCs w:val="20"/>
        </w:rPr>
        <w:t>,</w:t>
      </w:r>
      <w:r w:rsidR="00495B22" w:rsidRPr="00780D64">
        <w:rPr>
          <w:sz w:val="20"/>
          <w:szCs w:val="20"/>
        </w:rPr>
        <w:t>76</w:t>
      </w:r>
      <w:proofErr w:type="gramEnd"/>
      <w:r w:rsidRPr="00780D64">
        <w:rPr>
          <w:sz w:val="20"/>
          <w:szCs w:val="20"/>
        </w:rPr>
        <w:t xml:space="preserve"> lần (1</w:t>
      </w:r>
      <w:r w:rsidR="00283685">
        <w:rPr>
          <w:sz w:val="20"/>
          <w:szCs w:val="20"/>
        </w:rPr>
        <w:t>,</w:t>
      </w:r>
      <w:r w:rsidR="00806B38" w:rsidRPr="00780D64">
        <w:rPr>
          <w:sz w:val="20"/>
          <w:szCs w:val="20"/>
        </w:rPr>
        <w:t>41</w:t>
      </w:r>
      <w:r w:rsidRPr="00780D64">
        <w:rPr>
          <w:sz w:val="20"/>
          <w:szCs w:val="20"/>
        </w:rPr>
        <w:t>/0</w:t>
      </w:r>
      <w:r w:rsidR="00283685">
        <w:rPr>
          <w:sz w:val="20"/>
          <w:szCs w:val="20"/>
        </w:rPr>
        <w:t>,</w:t>
      </w:r>
      <w:r w:rsidR="00806B38" w:rsidRPr="00780D64">
        <w:rPr>
          <w:sz w:val="20"/>
          <w:szCs w:val="20"/>
        </w:rPr>
        <w:t>5</w:t>
      </w:r>
      <w:r w:rsidR="00495B22" w:rsidRPr="00780D64">
        <w:rPr>
          <w:sz w:val="20"/>
          <w:szCs w:val="20"/>
        </w:rPr>
        <w:t>1</w:t>
      </w:r>
      <w:r w:rsidRPr="00780D64">
        <w:rPr>
          <w:sz w:val="20"/>
          <w:szCs w:val="20"/>
        </w:rPr>
        <w:t xml:space="preserve">) và tỉ số đỉnh trên phông được tính với độ tin cậy 95% đã tăng </w:t>
      </w:r>
      <w:r w:rsidR="00806B38" w:rsidRPr="00780D64">
        <w:rPr>
          <w:sz w:val="20"/>
          <w:szCs w:val="20"/>
        </w:rPr>
        <w:t>1</w:t>
      </w:r>
      <w:r w:rsidR="00495B22" w:rsidRPr="00780D64">
        <w:rPr>
          <w:sz w:val="20"/>
          <w:szCs w:val="20"/>
        </w:rPr>
        <w:t>28</w:t>
      </w:r>
      <w:r w:rsidR="00283685">
        <w:rPr>
          <w:sz w:val="20"/>
          <w:szCs w:val="20"/>
        </w:rPr>
        <w:t>,</w:t>
      </w:r>
      <w:r w:rsidR="00495B22" w:rsidRPr="00780D64">
        <w:rPr>
          <w:sz w:val="20"/>
          <w:szCs w:val="20"/>
        </w:rPr>
        <w:t>6</w:t>
      </w:r>
      <w:r w:rsidR="00806B38" w:rsidRPr="00780D64">
        <w:rPr>
          <w:sz w:val="20"/>
          <w:szCs w:val="20"/>
        </w:rPr>
        <w:t xml:space="preserve"> </w:t>
      </w:r>
      <w:r w:rsidRPr="00780D64">
        <w:rPr>
          <w:sz w:val="20"/>
          <w:szCs w:val="20"/>
        </w:rPr>
        <w:t>lần (</w:t>
      </w:r>
      <w:r w:rsidR="00283685">
        <w:rPr>
          <w:sz w:val="20"/>
          <w:szCs w:val="20"/>
        </w:rPr>
        <w:t>6,</w:t>
      </w:r>
      <w:r w:rsidR="00495B22" w:rsidRPr="00780D64">
        <w:rPr>
          <w:sz w:val="20"/>
          <w:szCs w:val="20"/>
        </w:rPr>
        <w:t>43</w:t>
      </w:r>
      <w:r w:rsidRPr="00780D64">
        <w:rPr>
          <w:sz w:val="20"/>
          <w:szCs w:val="20"/>
        </w:rPr>
        <w:t>/0</w:t>
      </w:r>
      <w:r w:rsidR="00283685">
        <w:rPr>
          <w:sz w:val="20"/>
          <w:szCs w:val="20"/>
        </w:rPr>
        <w:t>,</w:t>
      </w:r>
      <w:r w:rsidRPr="00780D64">
        <w:rPr>
          <w:sz w:val="20"/>
          <w:szCs w:val="20"/>
        </w:rPr>
        <w:t>0</w:t>
      </w:r>
      <w:r w:rsidR="00806B38" w:rsidRPr="00780D64">
        <w:rPr>
          <w:sz w:val="20"/>
          <w:szCs w:val="20"/>
        </w:rPr>
        <w:t>5</w:t>
      </w:r>
      <w:r w:rsidRPr="00780D64">
        <w:rPr>
          <w:sz w:val="20"/>
          <w:szCs w:val="20"/>
        </w:rPr>
        <w:t>).</w:t>
      </w:r>
      <w:r w:rsidR="001B1731">
        <w:rPr>
          <w:sz w:val="20"/>
          <w:szCs w:val="20"/>
        </w:rPr>
        <w:t xml:space="preserve"> </w:t>
      </w:r>
      <w:proofErr w:type="gramStart"/>
      <w:r w:rsidR="001B1731">
        <w:rPr>
          <w:sz w:val="20"/>
          <w:szCs w:val="20"/>
        </w:rPr>
        <w:t>Kết quả xác định hàm lượng của Se trong mẫu phân tích được cho trong bảng 2.</w:t>
      </w:r>
      <w:proofErr w:type="gramEnd"/>
    </w:p>
    <w:p w:rsidR="00E04468" w:rsidRPr="00780D64" w:rsidRDefault="002217DC" w:rsidP="00990797">
      <w:pPr>
        <w:spacing w:before="60" w:after="60" w:line="240" w:lineRule="auto"/>
        <w:jc w:val="both"/>
        <w:rPr>
          <w:b/>
          <w:spacing w:val="-2"/>
          <w:sz w:val="20"/>
          <w:szCs w:val="20"/>
        </w:rPr>
      </w:pPr>
      <w:r>
        <w:rPr>
          <w:b/>
          <w:spacing w:val="-2"/>
          <w:sz w:val="20"/>
          <w:szCs w:val="20"/>
        </w:rPr>
        <w:t xml:space="preserve">5. </w:t>
      </w:r>
      <w:r w:rsidR="00D17294" w:rsidRPr="00780D64">
        <w:rPr>
          <w:b/>
          <w:spacing w:val="-2"/>
          <w:sz w:val="20"/>
          <w:szCs w:val="20"/>
        </w:rPr>
        <w:t>Kết luận</w:t>
      </w:r>
    </w:p>
    <w:p w:rsidR="001A7A48" w:rsidRPr="00780D64" w:rsidRDefault="001A7A48" w:rsidP="00C847CB">
      <w:pPr>
        <w:spacing w:before="60" w:after="60" w:line="240" w:lineRule="auto"/>
        <w:ind w:firstLine="284"/>
        <w:jc w:val="both"/>
        <w:rPr>
          <w:sz w:val="20"/>
          <w:szCs w:val="20"/>
        </w:rPr>
      </w:pPr>
      <w:proofErr w:type="gramStart"/>
      <w:r w:rsidRPr="00780D64">
        <w:rPr>
          <w:sz w:val="20"/>
          <w:szCs w:val="20"/>
        </w:rPr>
        <w:t>Kỹ thuật trùng phùng đã được chỉ ra có khả năng trong việc xác định selenium trong mẫu địa chất.</w:t>
      </w:r>
      <w:proofErr w:type="gramEnd"/>
      <w:r w:rsidRPr="00780D64">
        <w:rPr>
          <w:sz w:val="20"/>
          <w:szCs w:val="20"/>
        </w:rPr>
        <w:t xml:space="preserve"> </w:t>
      </w:r>
      <w:proofErr w:type="gramStart"/>
      <w:r w:rsidRPr="00780D64">
        <w:rPr>
          <w:sz w:val="20"/>
          <w:szCs w:val="20"/>
        </w:rPr>
        <w:t>Ưu điểm của phương pháp là cho độ nhạy cao (dưới 1ppm).</w:t>
      </w:r>
      <w:proofErr w:type="gramEnd"/>
      <w:r w:rsidRPr="00780D64">
        <w:rPr>
          <w:sz w:val="20"/>
          <w:szCs w:val="20"/>
        </w:rPr>
        <w:t xml:space="preserve"> </w:t>
      </w:r>
      <w:proofErr w:type="gramStart"/>
      <w:r w:rsidRPr="00780D64">
        <w:rPr>
          <w:sz w:val="20"/>
          <w:szCs w:val="20"/>
        </w:rPr>
        <w:t xml:space="preserve">Đã </w:t>
      </w:r>
      <w:r w:rsidR="007423E5" w:rsidRPr="00780D64">
        <w:rPr>
          <w:sz w:val="20"/>
          <w:szCs w:val="20"/>
        </w:rPr>
        <w:t>loại bỏ</w:t>
      </w:r>
      <w:r w:rsidRPr="00780D64">
        <w:rPr>
          <w:sz w:val="20"/>
          <w:szCs w:val="20"/>
        </w:rPr>
        <w:t xml:space="preserve"> được sự ảnh hưởng của các đồng vị nhiễu</w:t>
      </w:r>
      <w:r w:rsidR="007423E5" w:rsidRPr="00780D64">
        <w:rPr>
          <w:sz w:val="20"/>
          <w:szCs w:val="20"/>
        </w:rPr>
        <w:t xml:space="preserve"> như </w:t>
      </w:r>
      <w:r w:rsidR="007423E5" w:rsidRPr="00780D64">
        <w:rPr>
          <w:sz w:val="20"/>
          <w:szCs w:val="20"/>
          <w:vertAlign w:val="superscript"/>
        </w:rPr>
        <w:t>181</w:t>
      </w:r>
      <w:r w:rsidR="007423E5" w:rsidRPr="00780D64">
        <w:rPr>
          <w:sz w:val="20"/>
          <w:szCs w:val="20"/>
        </w:rPr>
        <w:t xml:space="preserve">Hf và </w:t>
      </w:r>
      <w:r w:rsidR="007423E5" w:rsidRPr="00780D64">
        <w:rPr>
          <w:sz w:val="20"/>
          <w:szCs w:val="20"/>
          <w:vertAlign w:val="superscript"/>
        </w:rPr>
        <w:t>182</w:t>
      </w:r>
      <w:r w:rsidR="007423E5" w:rsidRPr="00780D64">
        <w:rPr>
          <w:sz w:val="20"/>
          <w:szCs w:val="20"/>
        </w:rPr>
        <w:t>Ta vào việc xác định Selenium và không phá hủy mẫu.</w:t>
      </w:r>
      <w:proofErr w:type="gramEnd"/>
    </w:p>
    <w:p w:rsidR="007423E5" w:rsidRDefault="007423E5" w:rsidP="00C847CB">
      <w:pPr>
        <w:spacing w:before="60" w:after="60" w:line="240" w:lineRule="auto"/>
        <w:ind w:firstLine="284"/>
        <w:jc w:val="both"/>
        <w:rPr>
          <w:sz w:val="20"/>
          <w:szCs w:val="20"/>
        </w:rPr>
      </w:pPr>
      <w:proofErr w:type="gramStart"/>
      <w:r w:rsidRPr="00780D64">
        <w:rPr>
          <w:sz w:val="20"/>
          <w:szCs w:val="20"/>
        </w:rPr>
        <w:t>Nghiên cứu này đã cải thiện khả năng ứng dụng của hệ phổ kế trùng phùng gamma-gamma tại Lò phản ứng Hạt nhân Đà Lạt.</w:t>
      </w:r>
      <w:proofErr w:type="gramEnd"/>
    </w:p>
    <w:p w:rsidR="003240D6" w:rsidRPr="003240D6" w:rsidRDefault="003240D6" w:rsidP="00C847CB">
      <w:pPr>
        <w:spacing w:before="60" w:after="60" w:line="240" w:lineRule="auto"/>
        <w:ind w:firstLine="284"/>
        <w:jc w:val="both"/>
        <w:rPr>
          <w:color w:val="FF0000"/>
          <w:sz w:val="20"/>
          <w:szCs w:val="20"/>
        </w:rPr>
      </w:pPr>
      <w:r w:rsidRPr="003240D6">
        <w:rPr>
          <w:color w:val="FF0000"/>
          <w:sz w:val="20"/>
          <w:szCs w:val="20"/>
        </w:rPr>
        <w:t xml:space="preserve">Kết quả xác định hàm lượng của Se trong mẫu </w:t>
      </w:r>
      <w:r w:rsidRPr="003240D6">
        <w:rPr>
          <w:color w:val="FF0000"/>
          <w:sz w:val="20"/>
          <w:szCs w:val="20"/>
        </w:rPr>
        <w:t>bằng phương pháp trùng phùng gamma-gamma</w:t>
      </w:r>
      <w:bookmarkStart w:id="0" w:name="_GoBack"/>
      <w:bookmarkEnd w:id="0"/>
      <w:r w:rsidRPr="003240D6">
        <w:rPr>
          <w:color w:val="FF0000"/>
          <w:sz w:val="20"/>
          <w:szCs w:val="20"/>
        </w:rPr>
        <w:t xml:space="preserve"> cho thấy độ chính xác và sai số trong kết quả đo tốt hơn phương pháp đo đơn sử dụng một đetectơ.</w:t>
      </w:r>
    </w:p>
    <w:p w:rsidR="00E04468" w:rsidRPr="00780D64" w:rsidRDefault="00AC6A53" w:rsidP="00C847CB">
      <w:pPr>
        <w:spacing w:before="60" w:after="60" w:line="240" w:lineRule="auto"/>
        <w:ind w:firstLine="284"/>
        <w:jc w:val="both"/>
        <w:rPr>
          <w:sz w:val="20"/>
          <w:szCs w:val="20"/>
        </w:rPr>
      </w:pPr>
      <w:r w:rsidRPr="00780D64">
        <w:rPr>
          <w:sz w:val="20"/>
          <w:szCs w:val="20"/>
        </w:rPr>
        <w:t>H</w:t>
      </w:r>
      <w:r w:rsidR="002F0537" w:rsidRPr="00780D64">
        <w:rPr>
          <w:sz w:val="20"/>
          <w:szCs w:val="20"/>
        </w:rPr>
        <w:t>ạn chế</w:t>
      </w:r>
      <w:r w:rsidR="0061135D" w:rsidRPr="00780D64">
        <w:rPr>
          <w:sz w:val="20"/>
          <w:szCs w:val="20"/>
        </w:rPr>
        <w:t xml:space="preserve"> lớn nhất </w:t>
      </w:r>
      <w:r w:rsidRPr="00780D64">
        <w:rPr>
          <w:sz w:val="20"/>
          <w:szCs w:val="20"/>
        </w:rPr>
        <w:t xml:space="preserve">khi phân tích kích hoạt bằng </w:t>
      </w:r>
      <w:r w:rsidR="0061135D" w:rsidRPr="00780D64">
        <w:rPr>
          <w:sz w:val="20"/>
          <w:szCs w:val="20"/>
        </w:rPr>
        <w:t>đo trùng phùng gamma-gamma là hiệu suất ghi thấp.</w:t>
      </w:r>
      <w:r w:rsidRPr="00780D64">
        <w:rPr>
          <w:sz w:val="20"/>
          <w:szCs w:val="20"/>
        </w:rPr>
        <w:t xml:space="preserve"> Để có </w:t>
      </w:r>
      <w:r w:rsidRPr="00780D64">
        <w:rPr>
          <w:sz w:val="20"/>
          <w:szCs w:val="20"/>
        </w:rPr>
        <w:lastRenderedPageBreak/>
        <w:t xml:space="preserve">cùng mức sai số thống kê như nhau thì thời gian đo với trùng phùng gamma-gamma phải rất dài so với đo đơn </w:t>
      </w:r>
      <w:r w:rsidRPr="00780D64">
        <w:rPr>
          <w:sz w:val="20"/>
          <w:szCs w:val="20"/>
        </w:rPr>
        <w:lastRenderedPageBreak/>
        <w:t>kênh thông thường.</w:t>
      </w:r>
    </w:p>
    <w:p w:rsidR="00780D64" w:rsidRDefault="00780D64" w:rsidP="00C847CB">
      <w:pPr>
        <w:spacing w:before="60" w:after="60" w:line="240" w:lineRule="auto"/>
        <w:jc w:val="both"/>
        <w:rPr>
          <w:b/>
          <w:sz w:val="20"/>
          <w:szCs w:val="20"/>
        </w:rPr>
        <w:sectPr w:rsidR="00780D64" w:rsidSect="00A5244C">
          <w:type w:val="continuous"/>
          <w:pgSz w:w="10773" w:h="15026" w:code="9"/>
          <w:pgMar w:top="567" w:right="567" w:bottom="567" w:left="567" w:header="720" w:footer="720" w:gutter="0"/>
          <w:cols w:num="2" w:space="284"/>
          <w:docGrid w:linePitch="360"/>
        </w:sectPr>
      </w:pPr>
    </w:p>
    <w:p w:rsidR="009E6C2F" w:rsidRPr="00780D64" w:rsidRDefault="002217DC" w:rsidP="00990797">
      <w:pPr>
        <w:spacing w:before="60" w:after="60" w:line="240" w:lineRule="auto"/>
        <w:jc w:val="both"/>
        <w:rPr>
          <w:b/>
          <w:sz w:val="20"/>
          <w:szCs w:val="20"/>
        </w:rPr>
      </w:pPr>
      <w:r>
        <w:rPr>
          <w:b/>
          <w:sz w:val="20"/>
          <w:szCs w:val="20"/>
        </w:rPr>
        <w:lastRenderedPageBreak/>
        <w:t xml:space="preserve">6. </w:t>
      </w:r>
      <w:r w:rsidR="00916727" w:rsidRPr="00780D64">
        <w:rPr>
          <w:b/>
          <w:sz w:val="20"/>
          <w:szCs w:val="20"/>
        </w:rPr>
        <w:t>Tài liệu tham khảo</w:t>
      </w:r>
    </w:p>
    <w:p w:rsidR="00C016F5" w:rsidRPr="00780D64" w:rsidRDefault="00C016F5" w:rsidP="00C847CB">
      <w:pPr>
        <w:numPr>
          <w:ilvl w:val="0"/>
          <w:numId w:val="7"/>
        </w:numPr>
        <w:tabs>
          <w:tab w:val="clear" w:pos="360"/>
        </w:tabs>
        <w:spacing w:before="60" w:after="60" w:line="240" w:lineRule="auto"/>
        <w:jc w:val="both"/>
        <w:rPr>
          <w:sz w:val="20"/>
          <w:szCs w:val="20"/>
        </w:rPr>
      </w:pPr>
      <w:r w:rsidRPr="00780D64">
        <w:rPr>
          <w:sz w:val="20"/>
          <w:szCs w:val="20"/>
        </w:rPr>
        <w:t>Y. Hatsukawa, et al</w:t>
      </w:r>
      <w:r w:rsidR="00625A40" w:rsidRPr="00780D64">
        <w:rPr>
          <w:sz w:val="20"/>
          <w:szCs w:val="20"/>
        </w:rPr>
        <w:t xml:space="preserve">, </w:t>
      </w:r>
      <w:r w:rsidR="00A83C99">
        <w:rPr>
          <w:sz w:val="20"/>
          <w:szCs w:val="20"/>
        </w:rPr>
        <w:t>“</w:t>
      </w:r>
      <w:r w:rsidRPr="00780D64">
        <w:rPr>
          <w:i/>
          <w:sz w:val="20"/>
          <w:szCs w:val="20"/>
        </w:rPr>
        <w:t>Application of multiparameter coincidence spectrometry usinga Ge detectors array to neutron activation analysis</w:t>
      </w:r>
      <w:r w:rsidR="00A83C99">
        <w:rPr>
          <w:i/>
          <w:sz w:val="20"/>
          <w:szCs w:val="20"/>
        </w:rPr>
        <w:t>”</w:t>
      </w:r>
      <w:r w:rsidRPr="00780D64">
        <w:rPr>
          <w:sz w:val="20"/>
          <w:szCs w:val="20"/>
        </w:rPr>
        <w:t>, Nuclear Instruments and Methods in Physics Research A</w:t>
      </w:r>
      <w:r w:rsidR="00A83C99">
        <w:rPr>
          <w:sz w:val="20"/>
          <w:szCs w:val="20"/>
        </w:rPr>
        <w:t>,</w:t>
      </w:r>
      <w:r w:rsidRPr="00780D64">
        <w:rPr>
          <w:sz w:val="20"/>
          <w:szCs w:val="20"/>
        </w:rPr>
        <w:t xml:space="preserve"> 482</w:t>
      </w:r>
      <w:r w:rsidR="00A83C99">
        <w:rPr>
          <w:sz w:val="20"/>
          <w:szCs w:val="20"/>
        </w:rPr>
        <w:t>,</w:t>
      </w:r>
      <w:r w:rsidRPr="00780D64">
        <w:rPr>
          <w:sz w:val="20"/>
          <w:szCs w:val="20"/>
        </w:rPr>
        <w:t xml:space="preserve"> 2002</w:t>
      </w:r>
      <w:r w:rsidR="00A83C99">
        <w:rPr>
          <w:sz w:val="20"/>
          <w:szCs w:val="20"/>
        </w:rPr>
        <w:t>,</w:t>
      </w:r>
      <w:r w:rsidRPr="00780D64">
        <w:rPr>
          <w:sz w:val="20"/>
          <w:szCs w:val="20"/>
        </w:rPr>
        <w:t xml:space="preserve"> 328–333</w:t>
      </w:r>
    </w:p>
    <w:p w:rsidR="00D624B9" w:rsidRPr="00780D64" w:rsidRDefault="00D624B9" w:rsidP="00C847CB">
      <w:pPr>
        <w:pStyle w:val="NormalJustified"/>
        <w:numPr>
          <w:ilvl w:val="0"/>
          <w:numId w:val="7"/>
        </w:numPr>
        <w:tabs>
          <w:tab w:val="clear" w:pos="360"/>
          <w:tab w:val="clear" w:pos="2340"/>
          <w:tab w:val="clear" w:pos="7380"/>
        </w:tabs>
        <w:spacing w:before="60" w:after="60"/>
        <w:rPr>
          <w:sz w:val="20"/>
          <w:szCs w:val="20"/>
        </w:rPr>
      </w:pPr>
      <w:r w:rsidRPr="00780D64">
        <w:rPr>
          <w:sz w:val="20"/>
          <w:szCs w:val="20"/>
        </w:rPr>
        <w:t xml:space="preserve">Masumi Oshima and et al, </w:t>
      </w:r>
      <w:r w:rsidR="00A83C99" w:rsidRPr="00A83C99">
        <w:rPr>
          <w:i/>
          <w:sz w:val="20"/>
          <w:szCs w:val="20"/>
        </w:rPr>
        <w:t>“</w:t>
      </w:r>
      <w:r w:rsidRPr="00A83C99">
        <w:rPr>
          <w:i/>
          <w:sz w:val="20"/>
          <w:szCs w:val="20"/>
        </w:rPr>
        <w:t>Development of a New Method of Neutron Activation Analysis with Multiple Gamma-ray Detection – A High-sentivity and Non-destructive Trace Element Analysis</w:t>
      </w:r>
      <w:r w:rsidR="00A83C99">
        <w:rPr>
          <w:i/>
          <w:sz w:val="20"/>
          <w:szCs w:val="20"/>
        </w:rPr>
        <w:t>”</w:t>
      </w:r>
      <w:r w:rsidRPr="00780D64">
        <w:rPr>
          <w:sz w:val="20"/>
          <w:szCs w:val="20"/>
        </w:rPr>
        <w:t>, Journal of Nuclear Science and Technology, Supplement 2,</w:t>
      </w:r>
      <w:r w:rsidR="00A83C99">
        <w:rPr>
          <w:sz w:val="20"/>
          <w:szCs w:val="20"/>
        </w:rPr>
        <w:t xml:space="preserve"> </w:t>
      </w:r>
      <w:r w:rsidR="00A83C99" w:rsidRPr="00780D64">
        <w:rPr>
          <w:sz w:val="20"/>
          <w:szCs w:val="20"/>
        </w:rPr>
        <w:t>August 2002</w:t>
      </w:r>
      <w:r w:rsidR="00A83C99">
        <w:rPr>
          <w:sz w:val="20"/>
          <w:szCs w:val="20"/>
        </w:rPr>
        <w:t>,</w:t>
      </w:r>
      <w:r w:rsidRPr="00780D64">
        <w:rPr>
          <w:sz w:val="20"/>
          <w:szCs w:val="20"/>
        </w:rPr>
        <w:t xml:space="preserve"> p. 1369-1371</w:t>
      </w:r>
      <w:r w:rsidR="00A83C99">
        <w:rPr>
          <w:sz w:val="20"/>
          <w:szCs w:val="20"/>
        </w:rPr>
        <w:t>.</w:t>
      </w:r>
    </w:p>
    <w:p w:rsidR="00C016F5" w:rsidRPr="00780D64" w:rsidRDefault="00C016F5" w:rsidP="00C847CB">
      <w:pPr>
        <w:numPr>
          <w:ilvl w:val="0"/>
          <w:numId w:val="7"/>
        </w:numPr>
        <w:tabs>
          <w:tab w:val="clear" w:pos="360"/>
        </w:tabs>
        <w:spacing w:before="60" w:after="60" w:line="240" w:lineRule="auto"/>
        <w:jc w:val="both"/>
        <w:rPr>
          <w:sz w:val="20"/>
          <w:szCs w:val="20"/>
        </w:rPr>
      </w:pPr>
      <w:r w:rsidRPr="00780D64">
        <w:rPr>
          <w:sz w:val="20"/>
          <w:szCs w:val="20"/>
        </w:rPr>
        <w:t xml:space="preserve">B.E. Tomlin, R. Zeisler, R.M. Lindstrom, </w:t>
      </w:r>
      <w:r w:rsidR="00A83C99">
        <w:rPr>
          <w:sz w:val="20"/>
          <w:szCs w:val="20"/>
        </w:rPr>
        <w:t>“</w:t>
      </w:r>
      <w:r w:rsidRPr="00780D64">
        <w:rPr>
          <w:i/>
          <w:sz w:val="20"/>
          <w:szCs w:val="20"/>
        </w:rPr>
        <w:t>gamma-gamma coincidence spectrometer for instrumental neutron-activation analysis</w:t>
      </w:r>
      <w:r w:rsidR="00A83C99">
        <w:rPr>
          <w:i/>
          <w:sz w:val="20"/>
          <w:szCs w:val="20"/>
        </w:rPr>
        <w:t>”</w:t>
      </w:r>
      <w:r w:rsidRPr="00780D64">
        <w:rPr>
          <w:sz w:val="20"/>
          <w:szCs w:val="20"/>
        </w:rPr>
        <w:t>, Nuclear Instruments and Methods in Physic</w:t>
      </w:r>
      <w:r w:rsidR="00733F5C" w:rsidRPr="00780D64">
        <w:rPr>
          <w:sz w:val="20"/>
          <w:szCs w:val="20"/>
        </w:rPr>
        <w:t>s Research A</w:t>
      </w:r>
      <w:r w:rsidR="00273218">
        <w:rPr>
          <w:sz w:val="20"/>
          <w:szCs w:val="20"/>
        </w:rPr>
        <w:t>,</w:t>
      </w:r>
      <w:r w:rsidR="00733F5C" w:rsidRPr="00780D64">
        <w:rPr>
          <w:sz w:val="20"/>
          <w:szCs w:val="20"/>
        </w:rPr>
        <w:t xml:space="preserve"> 589</w:t>
      </w:r>
      <w:r w:rsidR="00273218">
        <w:rPr>
          <w:sz w:val="20"/>
          <w:szCs w:val="20"/>
        </w:rPr>
        <w:t>,</w:t>
      </w:r>
      <w:r w:rsidR="00733F5C" w:rsidRPr="00780D64">
        <w:rPr>
          <w:sz w:val="20"/>
          <w:szCs w:val="20"/>
        </w:rPr>
        <w:t xml:space="preserve"> 2008</w:t>
      </w:r>
      <w:r w:rsidR="00273218">
        <w:rPr>
          <w:sz w:val="20"/>
          <w:szCs w:val="20"/>
        </w:rPr>
        <w:t>,</w:t>
      </w:r>
      <w:r w:rsidR="00733F5C" w:rsidRPr="00780D64">
        <w:rPr>
          <w:sz w:val="20"/>
          <w:szCs w:val="20"/>
        </w:rPr>
        <w:t xml:space="preserve"> 243</w:t>
      </w:r>
      <w:r w:rsidR="004A1C93">
        <w:rPr>
          <w:sz w:val="20"/>
          <w:szCs w:val="20"/>
        </w:rPr>
        <w:t>-249</w:t>
      </w:r>
      <w:r w:rsidR="00733F5C" w:rsidRPr="00780D64">
        <w:rPr>
          <w:sz w:val="20"/>
          <w:szCs w:val="20"/>
        </w:rPr>
        <w:t>.</w:t>
      </w:r>
    </w:p>
    <w:p w:rsidR="003861E5" w:rsidRPr="00780D64" w:rsidRDefault="003861E5" w:rsidP="00C847CB">
      <w:pPr>
        <w:numPr>
          <w:ilvl w:val="0"/>
          <w:numId w:val="7"/>
        </w:numPr>
        <w:tabs>
          <w:tab w:val="clear" w:pos="360"/>
        </w:tabs>
        <w:spacing w:before="60" w:after="60" w:line="240" w:lineRule="auto"/>
        <w:jc w:val="both"/>
        <w:rPr>
          <w:sz w:val="20"/>
          <w:szCs w:val="20"/>
        </w:rPr>
      </w:pPr>
      <w:r w:rsidRPr="00780D64">
        <w:rPr>
          <w:noProof/>
          <w:sz w:val="20"/>
          <w:szCs w:val="20"/>
        </w:rPr>
        <w:t xml:space="preserve">S. Horne, S. Landsberger, </w:t>
      </w:r>
      <w:r w:rsidR="004A1C93">
        <w:rPr>
          <w:noProof/>
          <w:sz w:val="20"/>
          <w:szCs w:val="20"/>
        </w:rPr>
        <w:t>“</w:t>
      </w:r>
      <w:r w:rsidRPr="00780D64">
        <w:rPr>
          <w:i/>
          <w:noProof/>
          <w:sz w:val="20"/>
          <w:szCs w:val="20"/>
        </w:rPr>
        <w:t>Selenium and mercury determination in biological samples using gamma–gamma coincidence and Compton suppression</w:t>
      </w:r>
      <w:r w:rsidR="004A1C93">
        <w:rPr>
          <w:i/>
          <w:noProof/>
          <w:sz w:val="20"/>
          <w:szCs w:val="20"/>
        </w:rPr>
        <w:t>”</w:t>
      </w:r>
      <w:r w:rsidRPr="00780D64">
        <w:rPr>
          <w:i/>
          <w:noProof/>
          <w:sz w:val="20"/>
          <w:szCs w:val="20"/>
        </w:rPr>
        <w:t xml:space="preserve">, </w:t>
      </w:r>
      <w:r w:rsidRPr="00780D64">
        <w:rPr>
          <w:noProof/>
          <w:sz w:val="20"/>
          <w:szCs w:val="20"/>
        </w:rPr>
        <w:t>Journal of Radioanalytical and Nuclear Chemistry</w:t>
      </w:r>
      <w:r w:rsidR="004A1C93">
        <w:rPr>
          <w:noProof/>
          <w:sz w:val="20"/>
          <w:szCs w:val="20"/>
        </w:rPr>
        <w:t>,</w:t>
      </w:r>
      <w:r w:rsidR="00A83C99">
        <w:rPr>
          <w:noProof/>
          <w:sz w:val="20"/>
          <w:szCs w:val="20"/>
        </w:rPr>
        <w:t xml:space="preserve"> 291</w:t>
      </w:r>
      <w:r w:rsidR="004A1C93">
        <w:rPr>
          <w:noProof/>
          <w:sz w:val="20"/>
          <w:szCs w:val="20"/>
        </w:rPr>
        <w:t>,</w:t>
      </w:r>
      <w:r w:rsidRPr="00780D64">
        <w:rPr>
          <w:noProof/>
          <w:sz w:val="20"/>
          <w:szCs w:val="20"/>
        </w:rPr>
        <w:t xml:space="preserve"> 2012</w:t>
      </w:r>
      <w:r w:rsidR="004A1C93">
        <w:rPr>
          <w:noProof/>
          <w:sz w:val="20"/>
          <w:szCs w:val="20"/>
        </w:rPr>
        <w:t>,</w:t>
      </w:r>
      <w:r w:rsidR="00A83C99">
        <w:rPr>
          <w:noProof/>
          <w:sz w:val="20"/>
          <w:szCs w:val="20"/>
        </w:rPr>
        <w:t xml:space="preserve"> 49-53</w:t>
      </w:r>
      <w:r w:rsidRPr="00780D64">
        <w:rPr>
          <w:noProof/>
          <w:sz w:val="20"/>
          <w:szCs w:val="20"/>
        </w:rPr>
        <w:t>.</w:t>
      </w:r>
    </w:p>
    <w:p w:rsidR="003861E5" w:rsidRPr="00780D64" w:rsidRDefault="003861E5" w:rsidP="00C847CB">
      <w:pPr>
        <w:numPr>
          <w:ilvl w:val="0"/>
          <w:numId w:val="7"/>
        </w:numPr>
        <w:tabs>
          <w:tab w:val="clear" w:pos="360"/>
        </w:tabs>
        <w:spacing w:before="60" w:after="60" w:line="240" w:lineRule="auto"/>
        <w:jc w:val="both"/>
        <w:rPr>
          <w:sz w:val="20"/>
          <w:szCs w:val="20"/>
        </w:rPr>
      </w:pPr>
      <w:r w:rsidRPr="00780D64">
        <w:rPr>
          <w:sz w:val="20"/>
          <w:szCs w:val="20"/>
        </w:rPr>
        <w:t xml:space="preserve">Lawrence E. Wangen, </w:t>
      </w:r>
      <w:proofErr w:type="gramStart"/>
      <w:r w:rsidRPr="00780D64">
        <w:rPr>
          <w:sz w:val="20"/>
          <w:szCs w:val="20"/>
        </w:rPr>
        <w:t>Ernest  S</w:t>
      </w:r>
      <w:proofErr w:type="gramEnd"/>
      <w:r w:rsidRPr="00780D64">
        <w:rPr>
          <w:sz w:val="20"/>
          <w:szCs w:val="20"/>
        </w:rPr>
        <w:t xml:space="preserve">. Gladney, and Walter  K. Hensley, </w:t>
      </w:r>
      <w:r w:rsidR="004A1C93">
        <w:rPr>
          <w:sz w:val="20"/>
          <w:szCs w:val="20"/>
        </w:rPr>
        <w:t>“</w:t>
      </w:r>
      <w:r w:rsidRPr="00780D64">
        <w:rPr>
          <w:i/>
          <w:sz w:val="20"/>
          <w:szCs w:val="20"/>
        </w:rPr>
        <w:t xml:space="preserve">Determination of  Selenium in </w:t>
      </w:r>
      <w:r w:rsidRPr="00780D64">
        <w:rPr>
          <w:i/>
          <w:sz w:val="20"/>
          <w:szCs w:val="20"/>
        </w:rPr>
        <w:lastRenderedPageBreak/>
        <w:t>Environmental Standard Reference Materials by a Gamma-Gamma  Coincidence Method Using Ge(Li) Detectors</w:t>
      </w:r>
      <w:r w:rsidR="004A1C93">
        <w:rPr>
          <w:i/>
          <w:sz w:val="20"/>
          <w:szCs w:val="20"/>
        </w:rPr>
        <w:t>”</w:t>
      </w:r>
      <w:r w:rsidRPr="00780D64">
        <w:rPr>
          <w:i/>
          <w:sz w:val="20"/>
          <w:szCs w:val="20"/>
        </w:rPr>
        <w:t>,</w:t>
      </w:r>
      <w:r w:rsidRPr="00780D64">
        <w:rPr>
          <w:sz w:val="20"/>
          <w:szCs w:val="20"/>
        </w:rPr>
        <w:t xml:space="preserve"> Anal. Chem. 1980, 52, 765-767.</w:t>
      </w:r>
    </w:p>
    <w:p w:rsidR="002D58D2" w:rsidRDefault="00D624B9" w:rsidP="002D58D2">
      <w:pPr>
        <w:pStyle w:val="NormalJustified"/>
        <w:numPr>
          <w:ilvl w:val="0"/>
          <w:numId w:val="7"/>
        </w:numPr>
        <w:tabs>
          <w:tab w:val="clear" w:pos="360"/>
          <w:tab w:val="clear" w:pos="2340"/>
          <w:tab w:val="clear" w:pos="7380"/>
        </w:tabs>
        <w:spacing w:before="60" w:after="60"/>
        <w:rPr>
          <w:sz w:val="20"/>
          <w:szCs w:val="20"/>
        </w:rPr>
      </w:pPr>
      <w:r w:rsidRPr="00780D64">
        <w:rPr>
          <w:sz w:val="20"/>
          <w:szCs w:val="20"/>
        </w:rPr>
        <w:t xml:space="preserve">Pham Dinh Khang, V.H. Tan, N.X. Hai, N.N. Dien, </w:t>
      </w:r>
      <w:r w:rsidRPr="00780D64">
        <w:rPr>
          <w:i/>
          <w:sz w:val="20"/>
          <w:szCs w:val="20"/>
        </w:rPr>
        <w:t>Gamma-gamma coincidence spectrometer setup for neutron activation analysis and nuclear structure studies,</w:t>
      </w:r>
      <w:r w:rsidRPr="00780D64">
        <w:rPr>
          <w:sz w:val="20"/>
          <w:szCs w:val="20"/>
        </w:rPr>
        <w:t xml:space="preserve"> Nucl. Instr. and Meth. A</w:t>
      </w:r>
      <w:r w:rsidR="004A1C93">
        <w:rPr>
          <w:sz w:val="20"/>
          <w:szCs w:val="20"/>
        </w:rPr>
        <w:t xml:space="preserve">, </w:t>
      </w:r>
      <w:r w:rsidRPr="00780D64">
        <w:rPr>
          <w:sz w:val="20"/>
          <w:szCs w:val="20"/>
        </w:rPr>
        <w:t>63</w:t>
      </w:r>
      <w:r w:rsidR="004A1C93">
        <w:rPr>
          <w:sz w:val="20"/>
          <w:szCs w:val="20"/>
        </w:rPr>
        <w:t>4,</w:t>
      </w:r>
      <w:r w:rsidRPr="00780D64">
        <w:rPr>
          <w:sz w:val="20"/>
          <w:szCs w:val="20"/>
        </w:rPr>
        <w:t xml:space="preserve"> 2011</w:t>
      </w:r>
      <w:r w:rsidR="004A1C93">
        <w:rPr>
          <w:sz w:val="20"/>
          <w:szCs w:val="20"/>
        </w:rPr>
        <w:t>, 47-51</w:t>
      </w:r>
      <w:r w:rsidRPr="00780D64">
        <w:rPr>
          <w:sz w:val="20"/>
          <w:szCs w:val="20"/>
        </w:rPr>
        <w:t>.</w:t>
      </w:r>
    </w:p>
    <w:p w:rsidR="002D58D2" w:rsidRDefault="00AB63AC" w:rsidP="002D58D2">
      <w:pPr>
        <w:pStyle w:val="NormalJustified"/>
        <w:numPr>
          <w:ilvl w:val="0"/>
          <w:numId w:val="7"/>
        </w:numPr>
        <w:tabs>
          <w:tab w:val="clear" w:pos="360"/>
          <w:tab w:val="clear" w:pos="2340"/>
          <w:tab w:val="clear" w:pos="7380"/>
        </w:tabs>
        <w:spacing w:before="60" w:after="60"/>
        <w:rPr>
          <w:color w:val="FF0000"/>
          <w:sz w:val="20"/>
          <w:szCs w:val="20"/>
        </w:rPr>
      </w:pPr>
      <w:r w:rsidRPr="002D58D2">
        <w:rPr>
          <w:color w:val="FF0000"/>
          <w:sz w:val="20"/>
          <w:szCs w:val="20"/>
        </w:rPr>
        <w:t xml:space="preserve">Montana II Soil, </w:t>
      </w:r>
      <w:r w:rsidR="002D58D2" w:rsidRPr="002D58D2">
        <w:rPr>
          <w:color w:val="FF0000"/>
          <w:sz w:val="20"/>
          <w:szCs w:val="20"/>
        </w:rPr>
        <w:t xml:space="preserve">Certificate of </w:t>
      </w:r>
      <w:proofErr w:type="gramStart"/>
      <w:r w:rsidR="002D58D2" w:rsidRPr="002D58D2">
        <w:rPr>
          <w:color w:val="FF0000"/>
          <w:sz w:val="20"/>
          <w:szCs w:val="20"/>
        </w:rPr>
        <w:t>analysis[</w:t>
      </w:r>
      <w:proofErr w:type="gramEnd"/>
      <w:r w:rsidR="002D58D2" w:rsidRPr="002D58D2">
        <w:rPr>
          <w:color w:val="FF0000"/>
          <w:sz w:val="20"/>
          <w:szCs w:val="20"/>
        </w:rPr>
        <w:t xml:space="preserve">Internet], Standard Reference Material 2711a. [cited 2014 Oct 15 or the date you have viewed]Available from: </w:t>
      </w:r>
      <w:hyperlink r:id="rId18" w:history="1">
        <w:r w:rsidR="002D58D2" w:rsidRPr="002D58D2">
          <w:rPr>
            <w:color w:val="FF0000"/>
            <w:sz w:val="20"/>
            <w:szCs w:val="20"/>
          </w:rPr>
          <w:t>http://www.clu-in.org/conf/tio/xrf_082808/cd/NIST-Standard-Reference-Materials/NIST_SRM_2711.pdf</w:t>
        </w:r>
      </w:hyperlink>
      <w:r w:rsidR="002D58D2">
        <w:rPr>
          <w:color w:val="FF0000"/>
          <w:sz w:val="20"/>
          <w:szCs w:val="20"/>
        </w:rPr>
        <w:t>.</w:t>
      </w:r>
    </w:p>
    <w:p w:rsidR="006B5AC6" w:rsidRPr="002D58D2" w:rsidRDefault="002D58D2" w:rsidP="002D58D2">
      <w:pPr>
        <w:pStyle w:val="NormalJustified"/>
        <w:numPr>
          <w:ilvl w:val="0"/>
          <w:numId w:val="7"/>
        </w:numPr>
        <w:tabs>
          <w:tab w:val="clear" w:pos="360"/>
          <w:tab w:val="clear" w:pos="2340"/>
          <w:tab w:val="clear" w:pos="7380"/>
        </w:tabs>
        <w:spacing w:before="60" w:after="60"/>
        <w:rPr>
          <w:color w:val="FF0000"/>
          <w:sz w:val="20"/>
          <w:szCs w:val="20"/>
        </w:rPr>
        <w:sectPr w:rsidR="006B5AC6" w:rsidRPr="002D58D2" w:rsidSect="00A5244C">
          <w:type w:val="continuous"/>
          <w:pgSz w:w="10773" w:h="15026" w:code="9"/>
          <w:pgMar w:top="567" w:right="567" w:bottom="567" w:left="567" w:header="720" w:footer="720" w:gutter="0"/>
          <w:cols w:num="2" w:space="284"/>
          <w:docGrid w:linePitch="360"/>
        </w:sectPr>
      </w:pPr>
      <w:r w:rsidRPr="002D58D2">
        <w:rPr>
          <w:color w:val="FF0000"/>
          <w:sz w:val="20"/>
          <w:szCs w:val="20"/>
        </w:rPr>
        <w:t xml:space="preserve">Gedcke AD, How counting statistics controls detection limits and peak </w:t>
      </w:r>
      <w:proofErr w:type="gramStart"/>
      <w:r w:rsidRPr="002D58D2">
        <w:rPr>
          <w:color w:val="FF0000"/>
          <w:sz w:val="20"/>
          <w:szCs w:val="20"/>
        </w:rPr>
        <w:t>precision[</w:t>
      </w:r>
      <w:proofErr w:type="gramEnd"/>
      <w:r w:rsidRPr="002D58D2">
        <w:rPr>
          <w:color w:val="FF0000"/>
          <w:sz w:val="20"/>
          <w:szCs w:val="20"/>
        </w:rPr>
        <w:t xml:space="preserve">Internet], AN59 Application Note, ORTEC.[cited 2014 Oct 15 or the date you have viewed] Available from: </w:t>
      </w:r>
      <w:hyperlink r:id="rId19" w:history="1">
        <w:r w:rsidRPr="002D58D2">
          <w:rPr>
            <w:color w:val="FF0000"/>
            <w:sz w:val="20"/>
            <w:szCs w:val="20"/>
          </w:rPr>
          <w:t>http://www.ortec-online.com/download/Application-Note-AN59-Counting-Statistics-Controls-Detection-Limits-Peak-Precision.pdf</w:t>
        </w:r>
      </w:hyperlink>
      <w:r>
        <w:rPr>
          <w:color w:val="FF0000"/>
          <w:sz w:val="20"/>
          <w:szCs w:val="20"/>
        </w:rPr>
        <w:t>.</w:t>
      </w:r>
    </w:p>
    <w:p w:rsidR="00C847CB" w:rsidRDefault="00C847CB" w:rsidP="00C847CB">
      <w:pPr>
        <w:spacing w:before="60" w:after="60" w:line="240" w:lineRule="auto"/>
        <w:ind w:left="530"/>
        <w:jc w:val="both"/>
        <w:rPr>
          <w:noProof/>
          <w:sz w:val="20"/>
          <w:szCs w:val="20"/>
        </w:rPr>
        <w:sectPr w:rsidR="00C847CB" w:rsidSect="00A5244C">
          <w:type w:val="continuous"/>
          <w:pgSz w:w="10773" w:h="15026" w:code="9"/>
          <w:pgMar w:top="567" w:right="567" w:bottom="567" w:left="567" w:header="720" w:footer="720" w:gutter="0"/>
          <w:cols w:num="2" w:space="284"/>
          <w:docGrid w:linePitch="360"/>
        </w:sectPr>
      </w:pPr>
    </w:p>
    <w:p w:rsidR="00A5244C" w:rsidRDefault="00A5244C" w:rsidP="00C847CB">
      <w:pPr>
        <w:spacing w:before="60" w:after="60" w:line="240" w:lineRule="auto"/>
        <w:ind w:left="530"/>
        <w:jc w:val="both"/>
        <w:rPr>
          <w:noProof/>
          <w:sz w:val="20"/>
          <w:szCs w:val="20"/>
        </w:rPr>
        <w:sectPr w:rsidR="00A5244C" w:rsidSect="00C75F0D">
          <w:type w:val="continuous"/>
          <w:pgSz w:w="10773" w:h="15026" w:code="9"/>
          <w:pgMar w:top="567" w:right="567" w:bottom="567" w:left="567" w:header="720" w:footer="720" w:gutter="0"/>
          <w:cols w:space="284"/>
          <w:docGrid w:linePitch="360"/>
        </w:sectPr>
      </w:pPr>
    </w:p>
    <w:p w:rsidR="00682108" w:rsidRPr="00780D64" w:rsidRDefault="00682108" w:rsidP="00C847CB">
      <w:pPr>
        <w:spacing w:before="60" w:after="60" w:line="240" w:lineRule="auto"/>
        <w:jc w:val="center"/>
        <w:rPr>
          <w:b/>
          <w:sz w:val="20"/>
          <w:szCs w:val="20"/>
        </w:rPr>
      </w:pPr>
      <w:r w:rsidRPr="00780D64">
        <w:rPr>
          <w:b/>
          <w:sz w:val="20"/>
          <w:szCs w:val="20"/>
        </w:rPr>
        <w:lastRenderedPageBreak/>
        <w:t xml:space="preserve">DETERMINATION OF SELENIUM IN GEOLOGY SAMPLE </w:t>
      </w:r>
      <w:r w:rsidR="003E019C">
        <w:rPr>
          <w:b/>
          <w:sz w:val="20"/>
          <w:szCs w:val="20"/>
        </w:rPr>
        <w:br/>
      </w:r>
      <w:r w:rsidRPr="00780D64">
        <w:rPr>
          <w:b/>
          <w:sz w:val="20"/>
          <w:szCs w:val="20"/>
        </w:rPr>
        <w:t xml:space="preserve">BY </w:t>
      </w:r>
      <w:r w:rsidR="001235F9" w:rsidRPr="00780D64">
        <w:rPr>
          <w:b/>
          <w:sz w:val="20"/>
          <w:szCs w:val="20"/>
        </w:rPr>
        <w:t xml:space="preserve">GAMMA – GAMMA </w:t>
      </w:r>
      <w:r w:rsidRPr="00780D64">
        <w:rPr>
          <w:b/>
          <w:sz w:val="20"/>
          <w:szCs w:val="20"/>
        </w:rPr>
        <w:t xml:space="preserve">COINCIDENCE </w:t>
      </w:r>
      <w:r w:rsidR="001235F9" w:rsidRPr="00780D64">
        <w:rPr>
          <w:b/>
          <w:sz w:val="20"/>
          <w:szCs w:val="20"/>
        </w:rPr>
        <w:t>MENTHOD</w:t>
      </w:r>
    </w:p>
    <w:p w:rsidR="00682108" w:rsidRPr="00780D64" w:rsidRDefault="00682108" w:rsidP="00C847CB">
      <w:pPr>
        <w:spacing w:before="60" w:after="60" w:line="240" w:lineRule="auto"/>
        <w:jc w:val="center"/>
        <w:rPr>
          <w:sz w:val="20"/>
          <w:szCs w:val="20"/>
        </w:rPr>
      </w:pPr>
      <w:r w:rsidRPr="00780D64">
        <w:rPr>
          <w:sz w:val="20"/>
          <w:szCs w:val="20"/>
        </w:rPr>
        <w:t>Truong Van Minh</w:t>
      </w:r>
      <w:r w:rsidRPr="00780D64">
        <w:rPr>
          <w:sz w:val="20"/>
          <w:szCs w:val="20"/>
          <w:vertAlign w:val="superscript"/>
        </w:rPr>
        <w:t>1</w:t>
      </w:r>
      <w:r w:rsidRPr="00780D64">
        <w:rPr>
          <w:sz w:val="20"/>
          <w:szCs w:val="20"/>
        </w:rPr>
        <w:t>, Pham Dinh Khang</w:t>
      </w:r>
      <w:r w:rsidRPr="00780D64">
        <w:rPr>
          <w:sz w:val="20"/>
          <w:szCs w:val="20"/>
          <w:vertAlign w:val="superscript"/>
        </w:rPr>
        <w:t>2</w:t>
      </w:r>
      <w:r w:rsidRPr="00780D64">
        <w:rPr>
          <w:sz w:val="20"/>
          <w:szCs w:val="20"/>
        </w:rPr>
        <w:t>,</w:t>
      </w:r>
      <w:r w:rsidR="00637B39" w:rsidRPr="00780D64">
        <w:rPr>
          <w:sz w:val="20"/>
          <w:szCs w:val="20"/>
        </w:rPr>
        <w:t xml:space="preserve"> Nguyen Xuan Hai</w:t>
      </w:r>
      <w:r w:rsidR="00637B39" w:rsidRPr="00780D64">
        <w:rPr>
          <w:sz w:val="20"/>
          <w:szCs w:val="20"/>
          <w:vertAlign w:val="superscript"/>
        </w:rPr>
        <w:t>2</w:t>
      </w:r>
      <w:r w:rsidR="00637B39" w:rsidRPr="00780D64">
        <w:rPr>
          <w:sz w:val="20"/>
          <w:szCs w:val="20"/>
        </w:rPr>
        <w:t xml:space="preserve">, </w:t>
      </w:r>
    </w:p>
    <w:p w:rsidR="00682108" w:rsidRPr="00780D64" w:rsidRDefault="00682108" w:rsidP="00C847CB">
      <w:pPr>
        <w:spacing w:before="60" w:after="60" w:line="240" w:lineRule="auto"/>
        <w:jc w:val="center"/>
        <w:rPr>
          <w:sz w:val="20"/>
          <w:szCs w:val="20"/>
          <w:vertAlign w:val="superscript"/>
        </w:rPr>
      </w:pPr>
      <w:r w:rsidRPr="00780D64">
        <w:rPr>
          <w:sz w:val="20"/>
          <w:szCs w:val="20"/>
        </w:rPr>
        <w:t>Ho Huu Thang</w:t>
      </w:r>
      <w:r w:rsidRPr="00780D64">
        <w:rPr>
          <w:sz w:val="20"/>
          <w:szCs w:val="20"/>
          <w:vertAlign w:val="superscript"/>
        </w:rPr>
        <w:t>2</w:t>
      </w:r>
      <w:r w:rsidRPr="00780D64">
        <w:rPr>
          <w:sz w:val="20"/>
          <w:szCs w:val="20"/>
        </w:rPr>
        <w:t>,</w:t>
      </w:r>
      <w:r w:rsidR="00AE4A62">
        <w:rPr>
          <w:sz w:val="20"/>
          <w:szCs w:val="20"/>
        </w:rPr>
        <w:t xml:space="preserve"> </w:t>
      </w:r>
      <w:r w:rsidRPr="00780D64">
        <w:rPr>
          <w:sz w:val="20"/>
          <w:szCs w:val="20"/>
        </w:rPr>
        <w:t>Nguyen Ngoc Anh</w:t>
      </w:r>
      <w:r w:rsidRPr="00780D64">
        <w:rPr>
          <w:sz w:val="20"/>
          <w:szCs w:val="20"/>
          <w:vertAlign w:val="superscript"/>
        </w:rPr>
        <w:t>2</w:t>
      </w:r>
      <w:r w:rsidRPr="00780D64">
        <w:rPr>
          <w:sz w:val="20"/>
          <w:szCs w:val="20"/>
        </w:rPr>
        <w:t>, Nguyen Giang</w:t>
      </w:r>
      <w:r w:rsidRPr="00780D64">
        <w:rPr>
          <w:sz w:val="20"/>
          <w:szCs w:val="20"/>
          <w:vertAlign w:val="superscript"/>
        </w:rPr>
        <w:t>2</w:t>
      </w:r>
    </w:p>
    <w:p w:rsidR="00682108" w:rsidRPr="00780D64" w:rsidRDefault="00682108" w:rsidP="00C847CB">
      <w:pPr>
        <w:spacing w:before="60" w:after="60" w:line="240" w:lineRule="auto"/>
        <w:jc w:val="center"/>
        <w:rPr>
          <w:sz w:val="20"/>
          <w:szCs w:val="20"/>
          <w:vertAlign w:val="superscript"/>
        </w:rPr>
      </w:pPr>
    </w:p>
    <w:p w:rsidR="00682108" w:rsidRPr="00780D64" w:rsidRDefault="00682108" w:rsidP="00C847CB">
      <w:pPr>
        <w:spacing w:before="60" w:after="60" w:line="240" w:lineRule="auto"/>
        <w:jc w:val="center"/>
        <w:rPr>
          <w:sz w:val="20"/>
          <w:szCs w:val="20"/>
        </w:rPr>
      </w:pPr>
      <w:proofErr w:type="gramStart"/>
      <w:r w:rsidRPr="00780D64">
        <w:rPr>
          <w:sz w:val="20"/>
          <w:szCs w:val="20"/>
          <w:vertAlign w:val="superscript"/>
        </w:rPr>
        <w:t>1)</w:t>
      </w:r>
      <w:r w:rsidRPr="00780D64">
        <w:rPr>
          <w:sz w:val="20"/>
          <w:szCs w:val="20"/>
        </w:rPr>
        <w:t>University</w:t>
      </w:r>
      <w:proofErr w:type="gramEnd"/>
      <w:r w:rsidRPr="00780D64">
        <w:rPr>
          <w:sz w:val="20"/>
          <w:szCs w:val="20"/>
        </w:rPr>
        <w:t xml:space="preserve"> of Dong Nai, 04 Le Quy Don, Bien Hoa, Dong Nai </w:t>
      </w:r>
    </w:p>
    <w:p w:rsidR="00682108" w:rsidRPr="00780D64" w:rsidRDefault="00682108" w:rsidP="00C847CB">
      <w:pPr>
        <w:spacing w:before="60" w:after="60" w:line="240" w:lineRule="auto"/>
        <w:jc w:val="center"/>
        <w:rPr>
          <w:sz w:val="20"/>
          <w:szCs w:val="20"/>
        </w:rPr>
      </w:pPr>
      <w:proofErr w:type="gramStart"/>
      <w:r w:rsidRPr="00780D64">
        <w:rPr>
          <w:sz w:val="20"/>
          <w:szCs w:val="20"/>
          <w:vertAlign w:val="superscript"/>
        </w:rPr>
        <w:t>2)</w:t>
      </w:r>
      <w:r w:rsidRPr="00780D64">
        <w:rPr>
          <w:sz w:val="20"/>
          <w:szCs w:val="20"/>
        </w:rPr>
        <w:t>Nuclear</w:t>
      </w:r>
      <w:proofErr w:type="gramEnd"/>
      <w:r w:rsidRPr="00780D64">
        <w:rPr>
          <w:sz w:val="20"/>
          <w:szCs w:val="20"/>
        </w:rPr>
        <w:t xml:space="preserve"> Research Institute, 01 Nguyen Tu Luc, Dalat, Vietnam</w:t>
      </w:r>
    </w:p>
    <w:p w:rsidR="00682108" w:rsidRPr="00780D64" w:rsidRDefault="00682108" w:rsidP="00C847CB">
      <w:pPr>
        <w:spacing w:before="60" w:after="60" w:line="240" w:lineRule="auto"/>
        <w:jc w:val="center"/>
        <w:rPr>
          <w:sz w:val="20"/>
          <w:szCs w:val="20"/>
        </w:rPr>
      </w:pPr>
    </w:p>
    <w:p w:rsidR="00682108" w:rsidRPr="00780D64" w:rsidRDefault="00682108" w:rsidP="00C847CB">
      <w:pPr>
        <w:spacing w:before="60" w:after="60" w:line="240" w:lineRule="auto"/>
        <w:jc w:val="both"/>
        <w:rPr>
          <w:sz w:val="20"/>
          <w:szCs w:val="20"/>
        </w:rPr>
      </w:pPr>
      <w:r w:rsidRPr="00780D64">
        <w:rPr>
          <w:b/>
          <w:sz w:val="20"/>
          <w:szCs w:val="20"/>
        </w:rPr>
        <w:t xml:space="preserve">Abstract: </w:t>
      </w:r>
      <w:r w:rsidR="00EB3FBB" w:rsidRPr="00EB3FBB">
        <w:rPr>
          <w:bCs/>
          <w:sz w:val="20"/>
          <w:szCs w:val="20"/>
        </w:rPr>
        <w:t>Selenium is a very interesting metal in geological</w:t>
      </w:r>
      <w:r w:rsidR="00EB3FBB">
        <w:rPr>
          <w:bCs/>
          <w:sz w:val="20"/>
          <w:szCs w:val="20"/>
        </w:rPr>
        <w:t xml:space="preserve"> </w:t>
      </w:r>
      <w:r w:rsidR="00EB3FBB" w:rsidRPr="00EB3FBB">
        <w:rPr>
          <w:bCs/>
          <w:sz w:val="20"/>
          <w:szCs w:val="20"/>
        </w:rPr>
        <w:t>samples, biological</w:t>
      </w:r>
      <w:r w:rsidR="00EB3FBB">
        <w:rPr>
          <w:bCs/>
          <w:sz w:val="20"/>
          <w:szCs w:val="20"/>
        </w:rPr>
        <w:t xml:space="preserve"> </w:t>
      </w:r>
      <w:r w:rsidR="00EB3FBB" w:rsidRPr="00EB3FBB">
        <w:rPr>
          <w:bCs/>
          <w:sz w:val="20"/>
          <w:szCs w:val="20"/>
        </w:rPr>
        <w:t>samples or environmental</w:t>
      </w:r>
      <w:r w:rsidR="00EB3FBB">
        <w:rPr>
          <w:bCs/>
          <w:sz w:val="20"/>
          <w:szCs w:val="20"/>
        </w:rPr>
        <w:t xml:space="preserve"> </w:t>
      </w:r>
      <w:r w:rsidR="00EB3FBB" w:rsidRPr="00EB3FBB">
        <w:rPr>
          <w:bCs/>
          <w:sz w:val="20"/>
          <w:szCs w:val="20"/>
        </w:rPr>
        <w:t xml:space="preserve">samples. The </w:t>
      </w:r>
      <w:proofErr w:type="gramStart"/>
      <w:r w:rsidR="00EB3FBB" w:rsidRPr="00EB3FBB">
        <w:rPr>
          <w:bCs/>
          <w:sz w:val="20"/>
          <w:szCs w:val="20"/>
        </w:rPr>
        <w:t>determination of Se in these samples have</w:t>
      </w:r>
      <w:proofErr w:type="gramEnd"/>
      <w:r w:rsidR="00EB3FBB" w:rsidRPr="00EB3FBB">
        <w:rPr>
          <w:bCs/>
          <w:sz w:val="20"/>
          <w:szCs w:val="20"/>
        </w:rPr>
        <w:t xml:space="preserve"> various analytical techniques. </w:t>
      </w:r>
      <w:r w:rsidR="00DE12AF" w:rsidRPr="00780D64">
        <w:rPr>
          <w:bCs/>
          <w:sz w:val="20"/>
          <w:szCs w:val="20"/>
        </w:rPr>
        <w:t>The experimental</w:t>
      </w:r>
      <w:r w:rsidR="00EB3FBB">
        <w:rPr>
          <w:bCs/>
          <w:sz w:val="20"/>
          <w:szCs w:val="20"/>
        </w:rPr>
        <w:t xml:space="preserve"> </w:t>
      </w:r>
      <w:r w:rsidR="00DE12AF" w:rsidRPr="00780D64">
        <w:rPr>
          <w:bCs/>
          <w:sz w:val="20"/>
          <w:szCs w:val="20"/>
        </w:rPr>
        <w:t>for</w:t>
      </w:r>
      <w:r w:rsidR="00EB3FBB">
        <w:rPr>
          <w:bCs/>
          <w:sz w:val="20"/>
          <w:szCs w:val="20"/>
        </w:rPr>
        <w:t xml:space="preserve"> </w:t>
      </w:r>
      <w:r w:rsidR="00EB3FBB" w:rsidRPr="00EB3FBB">
        <w:rPr>
          <w:bCs/>
          <w:sz w:val="20"/>
          <w:szCs w:val="20"/>
        </w:rPr>
        <w:t>anal</w:t>
      </w:r>
      <w:r w:rsidR="00EB3FBB">
        <w:rPr>
          <w:bCs/>
          <w:sz w:val="20"/>
          <w:szCs w:val="20"/>
        </w:rPr>
        <w:t>ising selenium</w:t>
      </w:r>
      <w:r w:rsidR="00DE12AF" w:rsidRPr="00780D64">
        <w:rPr>
          <w:bCs/>
          <w:sz w:val="20"/>
          <w:szCs w:val="20"/>
        </w:rPr>
        <w:t xml:space="preserve"> </w:t>
      </w:r>
      <w:r w:rsidR="00EB3FBB">
        <w:rPr>
          <w:bCs/>
          <w:sz w:val="20"/>
          <w:szCs w:val="20"/>
        </w:rPr>
        <w:t>by</w:t>
      </w:r>
      <w:r w:rsidR="00DE12AF" w:rsidRPr="00780D64">
        <w:rPr>
          <w:bCs/>
          <w:sz w:val="20"/>
          <w:szCs w:val="20"/>
        </w:rPr>
        <w:t xml:space="preserve"> neutron activation analysis of geological samples, biological samples and environmental samples has been conducted</w:t>
      </w:r>
      <w:r w:rsidR="00C014E0" w:rsidRPr="00780D64">
        <w:rPr>
          <w:bCs/>
          <w:sz w:val="20"/>
          <w:szCs w:val="20"/>
        </w:rPr>
        <w:t xml:space="preserve"> by several</w:t>
      </w:r>
      <w:r w:rsidR="00DE12AF" w:rsidRPr="00780D64">
        <w:rPr>
          <w:bCs/>
          <w:sz w:val="20"/>
          <w:szCs w:val="20"/>
        </w:rPr>
        <w:t xml:space="preserve"> </w:t>
      </w:r>
      <w:r w:rsidR="00457DA2" w:rsidRPr="00780D64">
        <w:rPr>
          <w:bCs/>
          <w:sz w:val="20"/>
          <w:szCs w:val="20"/>
        </w:rPr>
        <w:t>some</w:t>
      </w:r>
      <w:r w:rsidR="00DE12AF" w:rsidRPr="00780D64">
        <w:rPr>
          <w:bCs/>
          <w:sz w:val="20"/>
          <w:szCs w:val="20"/>
        </w:rPr>
        <w:t xml:space="preserve"> laboratories in the world.</w:t>
      </w:r>
      <w:r w:rsidRPr="00780D64">
        <w:rPr>
          <w:bCs/>
          <w:sz w:val="20"/>
          <w:szCs w:val="20"/>
        </w:rPr>
        <w:t xml:space="preserve"> In this page, we would like to present the results of Selenium determination in geology sample by neutron activation analysis with</w:t>
      </w:r>
      <w:r w:rsidR="001235F9" w:rsidRPr="00780D64">
        <w:rPr>
          <w:bCs/>
          <w:sz w:val="20"/>
          <w:szCs w:val="20"/>
        </w:rPr>
        <w:t xml:space="preserve"> technique</w:t>
      </w:r>
      <w:r w:rsidRPr="00780D64">
        <w:rPr>
          <w:bCs/>
          <w:sz w:val="20"/>
          <w:szCs w:val="20"/>
        </w:rPr>
        <w:t xml:space="preserve"> </w:t>
      </w:r>
      <w:r w:rsidR="001235F9" w:rsidRPr="00780D64">
        <w:rPr>
          <w:bCs/>
          <w:sz w:val="20"/>
          <w:szCs w:val="20"/>
        </w:rPr>
        <w:t>of gamma</w:t>
      </w:r>
      <w:r w:rsidR="00456D56" w:rsidRPr="00780D64">
        <w:rPr>
          <w:bCs/>
          <w:sz w:val="20"/>
          <w:szCs w:val="20"/>
        </w:rPr>
        <w:t xml:space="preserve"> – </w:t>
      </w:r>
      <w:r w:rsidR="001235F9" w:rsidRPr="00780D64">
        <w:rPr>
          <w:bCs/>
          <w:sz w:val="20"/>
          <w:szCs w:val="20"/>
        </w:rPr>
        <w:t>gamma</w:t>
      </w:r>
      <w:r w:rsidR="00456D56" w:rsidRPr="00780D64">
        <w:rPr>
          <w:bCs/>
          <w:sz w:val="20"/>
          <w:szCs w:val="20"/>
        </w:rPr>
        <w:t xml:space="preserve"> </w:t>
      </w:r>
      <w:r w:rsidRPr="00780D64">
        <w:rPr>
          <w:bCs/>
          <w:sz w:val="20"/>
          <w:szCs w:val="20"/>
        </w:rPr>
        <w:t xml:space="preserve">coincidence measurement. By application of this </w:t>
      </w:r>
      <w:r w:rsidR="00882CB3" w:rsidRPr="00780D64">
        <w:rPr>
          <w:bCs/>
          <w:sz w:val="20"/>
          <w:szCs w:val="20"/>
        </w:rPr>
        <w:t>gamma – gamma coincidence method</w:t>
      </w:r>
      <w:r w:rsidRPr="00780D64">
        <w:rPr>
          <w:bCs/>
          <w:sz w:val="20"/>
          <w:szCs w:val="20"/>
        </w:rPr>
        <w:t xml:space="preserve">, the influence isotopes as </w:t>
      </w:r>
      <w:r w:rsidRPr="00780D64">
        <w:rPr>
          <w:sz w:val="20"/>
          <w:szCs w:val="20"/>
          <w:vertAlign w:val="superscript"/>
        </w:rPr>
        <w:t>182</w:t>
      </w:r>
      <w:r w:rsidRPr="00780D64">
        <w:rPr>
          <w:sz w:val="20"/>
          <w:szCs w:val="20"/>
        </w:rPr>
        <w:t xml:space="preserve">Ta, </w:t>
      </w:r>
      <w:r w:rsidRPr="00780D64">
        <w:rPr>
          <w:sz w:val="20"/>
          <w:szCs w:val="20"/>
          <w:vertAlign w:val="superscript"/>
        </w:rPr>
        <w:t>181</w:t>
      </w:r>
      <w:r w:rsidRPr="00780D64">
        <w:rPr>
          <w:sz w:val="20"/>
          <w:szCs w:val="20"/>
        </w:rPr>
        <w:t xml:space="preserve">Hf, </w:t>
      </w:r>
      <w:r w:rsidRPr="00780D64">
        <w:rPr>
          <w:sz w:val="20"/>
          <w:szCs w:val="20"/>
          <w:vertAlign w:val="superscript"/>
        </w:rPr>
        <w:t>152</w:t>
      </w:r>
      <w:r w:rsidRPr="00780D64">
        <w:rPr>
          <w:sz w:val="20"/>
          <w:szCs w:val="20"/>
        </w:rPr>
        <w:t>Eu were eliminated</w:t>
      </w:r>
      <w:r w:rsidR="00882CB3" w:rsidRPr="00780D64">
        <w:rPr>
          <w:sz w:val="20"/>
          <w:szCs w:val="20"/>
        </w:rPr>
        <w:t xml:space="preserve"> output from spectrometr</w:t>
      </w:r>
      <w:r w:rsidR="00C014E0" w:rsidRPr="00780D64">
        <w:rPr>
          <w:sz w:val="20"/>
          <w:szCs w:val="20"/>
        </w:rPr>
        <w:t>ic</w:t>
      </w:r>
      <w:r w:rsidR="00882CB3" w:rsidRPr="00780D64">
        <w:rPr>
          <w:sz w:val="20"/>
          <w:szCs w:val="20"/>
        </w:rPr>
        <w:t xml:space="preserve"> measurement</w:t>
      </w:r>
      <w:r w:rsidR="00987445" w:rsidRPr="00780D64">
        <w:rPr>
          <w:sz w:val="20"/>
          <w:szCs w:val="20"/>
        </w:rPr>
        <w:t xml:space="preserve"> and</w:t>
      </w:r>
      <w:r w:rsidR="00882CB3" w:rsidRPr="00780D64">
        <w:rPr>
          <w:sz w:val="20"/>
          <w:szCs w:val="20"/>
        </w:rPr>
        <w:t xml:space="preserve"> thus improved detection limits for selenium in geological samples when analyzed by neutron activation analysis method.</w:t>
      </w:r>
    </w:p>
    <w:p w:rsidR="00682108" w:rsidRDefault="00682108" w:rsidP="00C847CB">
      <w:pPr>
        <w:spacing w:before="60" w:after="60" w:line="240" w:lineRule="auto"/>
        <w:jc w:val="both"/>
        <w:rPr>
          <w:i/>
          <w:sz w:val="20"/>
          <w:szCs w:val="20"/>
        </w:rPr>
      </w:pPr>
      <w:r w:rsidRPr="00780D64">
        <w:rPr>
          <w:b/>
          <w:bCs/>
          <w:i/>
          <w:iCs/>
          <w:sz w:val="20"/>
          <w:szCs w:val="20"/>
        </w:rPr>
        <w:t>Keywords:</w:t>
      </w:r>
      <w:r w:rsidR="00934621" w:rsidRPr="00780D64">
        <w:rPr>
          <w:i/>
          <w:iCs/>
          <w:sz w:val="20"/>
          <w:szCs w:val="20"/>
        </w:rPr>
        <w:t xml:space="preserve"> Neutron activation analysis;</w:t>
      </w:r>
      <w:r w:rsidRPr="00780D64">
        <w:rPr>
          <w:i/>
          <w:iCs/>
          <w:sz w:val="20"/>
          <w:szCs w:val="20"/>
        </w:rPr>
        <w:t xml:space="preserve"> </w:t>
      </w:r>
      <w:r w:rsidR="00E82AB1" w:rsidRPr="00780D64">
        <w:rPr>
          <w:i/>
          <w:iCs/>
          <w:sz w:val="20"/>
          <w:szCs w:val="20"/>
        </w:rPr>
        <w:t xml:space="preserve">gamma-gamma </w:t>
      </w:r>
      <w:r w:rsidRPr="00780D64">
        <w:rPr>
          <w:i/>
          <w:iCs/>
          <w:sz w:val="20"/>
          <w:szCs w:val="20"/>
        </w:rPr>
        <w:t>coin</w:t>
      </w:r>
      <w:r w:rsidR="00934621" w:rsidRPr="00780D64">
        <w:rPr>
          <w:i/>
          <w:iCs/>
          <w:sz w:val="20"/>
          <w:szCs w:val="20"/>
        </w:rPr>
        <w:t xml:space="preserve">cidence; Selenium determination; </w:t>
      </w:r>
      <w:r w:rsidR="00934621" w:rsidRPr="00780D64">
        <w:rPr>
          <w:bCs/>
          <w:i/>
          <w:sz w:val="20"/>
          <w:szCs w:val="20"/>
        </w:rPr>
        <w:t xml:space="preserve">coincidence </w:t>
      </w:r>
      <w:r w:rsidR="00C014E0" w:rsidRPr="00780D64">
        <w:rPr>
          <w:bCs/>
          <w:i/>
          <w:sz w:val="20"/>
          <w:szCs w:val="20"/>
        </w:rPr>
        <w:t>method</w:t>
      </w:r>
      <w:r w:rsidR="00934621" w:rsidRPr="00780D64">
        <w:rPr>
          <w:bCs/>
          <w:i/>
          <w:sz w:val="20"/>
          <w:szCs w:val="20"/>
        </w:rPr>
        <w:t xml:space="preserve">; </w:t>
      </w:r>
      <w:r w:rsidR="00934621" w:rsidRPr="00780D64">
        <w:rPr>
          <w:i/>
          <w:sz w:val="20"/>
          <w:szCs w:val="20"/>
        </w:rPr>
        <w:t>detection limits.</w:t>
      </w:r>
    </w:p>
    <w:p w:rsidR="00000EF9" w:rsidRDefault="00000EF9" w:rsidP="00C847CB">
      <w:pPr>
        <w:spacing w:before="60" w:after="60" w:line="240" w:lineRule="auto"/>
        <w:jc w:val="both"/>
        <w:rPr>
          <w:i/>
          <w:sz w:val="20"/>
          <w:szCs w:val="20"/>
        </w:rPr>
      </w:pPr>
    </w:p>
    <w:p w:rsidR="00A71BD8" w:rsidRDefault="00A71BD8" w:rsidP="00C847CB">
      <w:pPr>
        <w:spacing w:before="60" w:after="60" w:line="240" w:lineRule="auto"/>
        <w:jc w:val="both"/>
        <w:rPr>
          <w:sz w:val="20"/>
          <w:szCs w:val="20"/>
        </w:rPr>
      </w:pPr>
      <w:r>
        <w:rPr>
          <w:sz w:val="20"/>
          <w:szCs w:val="20"/>
        </w:rPr>
        <w:t>Thông tin tác giả: Trương Văn Minh, Giảng viên khoa sư phạm khoa học Tự nhiên, Trường đại học Đồng Nai</w:t>
      </w:r>
    </w:p>
    <w:p w:rsidR="00A71BD8" w:rsidRDefault="00A71BD8" w:rsidP="00C847CB">
      <w:pPr>
        <w:spacing w:before="60" w:after="60" w:line="240" w:lineRule="auto"/>
        <w:jc w:val="both"/>
        <w:rPr>
          <w:sz w:val="20"/>
          <w:szCs w:val="20"/>
        </w:rPr>
      </w:pPr>
      <w:r>
        <w:rPr>
          <w:sz w:val="20"/>
          <w:szCs w:val="20"/>
        </w:rPr>
        <w:t>Địa chỉ: số 4 Lê Quí Đôn, Biên Hòa, Đồng Nai.</w:t>
      </w:r>
    </w:p>
    <w:p w:rsidR="00A71BD8" w:rsidRDefault="00A71BD8" w:rsidP="00C847CB">
      <w:pPr>
        <w:spacing w:before="60" w:after="60" w:line="240" w:lineRule="auto"/>
        <w:jc w:val="both"/>
        <w:rPr>
          <w:sz w:val="20"/>
          <w:szCs w:val="20"/>
        </w:rPr>
      </w:pPr>
      <w:r>
        <w:rPr>
          <w:sz w:val="20"/>
          <w:szCs w:val="20"/>
        </w:rPr>
        <w:t>Số điện thoại: 0969 260 179</w:t>
      </w:r>
    </w:p>
    <w:p w:rsidR="00A71BD8" w:rsidRDefault="00A71BD8" w:rsidP="00C847CB">
      <w:pPr>
        <w:spacing w:before="60" w:after="60" w:line="240" w:lineRule="auto"/>
        <w:jc w:val="both"/>
        <w:rPr>
          <w:sz w:val="20"/>
          <w:szCs w:val="20"/>
        </w:rPr>
      </w:pPr>
      <w:r>
        <w:rPr>
          <w:sz w:val="20"/>
          <w:szCs w:val="20"/>
        </w:rPr>
        <w:t xml:space="preserve">Email: </w:t>
      </w:r>
      <w:hyperlink r:id="rId20" w:history="1">
        <w:r w:rsidRPr="009E3B10">
          <w:rPr>
            <w:rStyle w:val="Hyperlink"/>
            <w:sz w:val="20"/>
            <w:szCs w:val="20"/>
          </w:rPr>
          <w:t>truongminhdnu@gmail.com</w:t>
        </w:r>
      </w:hyperlink>
    </w:p>
    <w:p w:rsidR="00A71BD8" w:rsidRPr="00A71BD8" w:rsidRDefault="00A71BD8" w:rsidP="00C847CB">
      <w:pPr>
        <w:spacing w:before="60" w:after="60" w:line="240" w:lineRule="auto"/>
        <w:ind w:left="530"/>
        <w:jc w:val="both"/>
        <w:rPr>
          <w:sz w:val="20"/>
          <w:szCs w:val="20"/>
        </w:rPr>
      </w:pPr>
    </w:p>
    <w:sectPr w:rsidR="00A71BD8" w:rsidRPr="00A71BD8" w:rsidSect="00C75F0D">
      <w:type w:val="continuous"/>
      <w:pgSz w:w="10773" w:h="15026" w:code="9"/>
      <w:pgMar w:top="567" w:right="567" w:bottom="567" w:left="567" w:header="720" w:footer="72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45" w:rsidRDefault="005D4945" w:rsidP="00682108">
      <w:pPr>
        <w:spacing w:after="0" w:line="240" w:lineRule="auto"/>
      </w:pPr>
      <w:r>
        <w:separator/>
      </w:r>
    </w:p>
  </w:endnote>
  <w:endnote w:type="continuationSeparator" w:id="0">
    <w:p w:rsidR="005D4945" w:rsidRDefault="005D4945" w:rsidP="0068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45" w:rsidRDefault="005D4945" w:rsidP="00682108">
      <w:pPr>
        <w:spacing w:after="0" w:line="240" w:lineRule="auto"/>
      </w:pPr>
      <w:r>
        <w:separator/>
      </w:r>
    </w:p>
  </w:footnote>
  <w:footnote w:type="continuationSeparator" w:id="0">
    <w:p w:rsidR="005D4945" w:rsidRDefault="005D4945" w:rsidP="0068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269E"/>
    <w:multiLevelType w:val="hybridMultilevel"/>
    <w:tmpl w:val="053076F2"/>
    <w:lvl w:ilvl="0" w:tplc="F6F227FE">
      <w:start w:val="1"/>
      <w:numFmt w:val="decimal"/>
      <w:lvlText w:val="[%1]."/>
      <w:lvlJc w:val="left"/>
      <w:pPr>
        <w:tabs>
          <w:tab w:val="num" w:pos="360"/>
        </w:tabs>
        <w:ind w:left="530" w:hanging="170"/>
      </w:pPr>
      <w:rPr>
        <w:rFonts w:hint="default"/>
        <w:b w:val="0"/>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1EC232A3"/>
    <w:multiLevelType w:val="hybridMultilevel"/>
    <w:tmpl w:val="A732C592"/>
    <w:lvl w:ilvl="0" w:tplc="F522E3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07DA"/>
    <w:multiLevelType w:val="hybridMultilevel"/>
    <w:tmpl w:val="42B0BB9C"/>
    <w:lvl w:ilvl="0" w:tplc="C6F8A60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162D3"/>
    <w:multiLevelType w:val="hybridMultilevel"/>
    <w:tmpl w:val="F670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B0436"/>
    <w:multiLevelType w:val="hybridMultilevel"/>
    <w:tmpl w:val="053076F2"/>
    <w:lvl w:ilvl="0" w:tplc="F6F227FE">
      <w:start w:val="1"/>
      <w:numFmt w:val="decimal"/>
      <w:lvlText w:val="[%1]."/>
      <w:lvlJc w:val="left"/>
      <w:pPr>
        <w:tabs>
          <w:tab w:val="num" w:pos="360"/>
        </w:tabs>
        <w:ind w:left="530" w:hanging="170"/>
      </w:pPr>
      <w:rPr>
        <w:rFonts w:hint="default"/>
        <w:b w:val="0"/>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3E061BF3"/>
    <w:multiLevelType w:val="multilevel"/>
    <w:tmpl w:val="C220BDC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D2305B8"/>
    <w:multiLevelType w:val="multilevel"/>
    <w:tmpl w:val="6E623A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7D49CE"/>
    <w:multiLevelType w:val="multilevel"/>
    <w:tmpl w:val="691CC96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nsid w:val="64CF2FA6"/>
    <w:multiLevelType w:val="hybridMultilevel"/>
    <w:tmpl w:val="AE987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46578D"/>
    <w:multiLevelType w:val="hybridMultilevel"/>
    <w:tmpl w:val="53D80B76"/>
    <w:lvl w:ilvl="0" w:tplc="34B8F200">
      <w:start w:val="1"/>
      <w:numFmt w:val="upperRoman"/>
      <w:lvlText w:val="%1."/>
      <w:lvlJc w:val="left"/>
      <w:pPr>
        <w:ind w:left="1080" w:hanging="720"/>
      </w:pPr>
      <w:rPr>
        <w:rFonts w:hint="default"/>
      </w:rPr>
    </w:lvl>
    <w:lvl w:ilvl="1" w:tplc="5E0C4FFE">
      <w:start w:val="1"/>
      <w:numFmt w:val="lowerLetter"/>
      <w:lvlText w:val="%2."/>
      <w:lvlJc w:val="left"/>
      <w:pPr>
        <w:tabs>
          <w:tab w:val="num" w:pos="1440"/>
        </w:tabs>
        <w:ind w:left="1440" w:hanging="360"/>
      </w:pPr>
      <w:rPr>
        <w:rFonts w:hint="default"/>
      </w:rPr>
    </w:lvl>
    <w:lvl w:ilvl="2" w:tplc="03CC0EAE">
      <w:start w:val="1"/>
      <w:numFmt w:val="bullet"/>
      <w:lvlText w:val="-"/>
      <w:lvlJc w:val="left"/>
      <w:pPr>
        <w:tabs>
          <w:tab w:val="num" w:pos="2340"/>
        </w:tabs>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1052F"/>
    <w:multiLevelType w:val="hybridMultilevel"/>
    <w:tmpl w:val="053076F2"/>
    <w:lvl w:ilvl="0" w:tplc="F6F227FE">
      <w:start w:val="1"/>
      <w:numFmt w:val="decimal"/>
      <w:lvlText w:val="[%1]."/>
      <w:lvlJc w:val="left"/>
      <w:pPr>
        <w:tabs>
          <w:tab w:val="num" w:pos="360"/>
        </w:tabs>
        <w:ind w:left="530" w:hanging="170"/>
      </w:pPr>
      <w:rPr>
        <w:rFonts w:hint="default"/>
        <w:b w:val="0"/>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71895FCC"/>
    <w:multiLevelType w:val="multilevel"/>
    <w:tmpl w:val="431856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5"/>
  </w:num>
  <w:num w:numId="4">
    <w:abstractNumId w:val="8"/>
  </w:num>
  <w:num w:numId="5">
    <w:abstractNumId w:val="1"/>
  </w:num>
  <w:num w:numId="6">
    <w:abstractNumId w:val="9"/>
  </w:num>
  <w:num w:numId="7">
    <w:abstractNumId w:val="4"/>
  </w:num>
  <w:num w:numId="8">
    <w:abstractNumId w:val="6"/>
  </w:num>
  <w:num w:numId="9">
    <w:abstractNumId w:val="11"/>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2C"/>
    <w:rsid w:val="00000EF9"/>
    <w:rsid w:val="000024E2"/>
    <w:rsid w:val="000265E7"/>
    <w:rsid w:val="00034191"/>
    <w:rsid w:val="000423B2"/>
    <w:rsid w:val="00053AB7"/>
    <w:rsid w:val="00065BD3"/>
    <w:rsid w:val="00071B07"/>
    <w:rsid w:val="0007243D"/>
    <w:rsid w:val="000818C1"/>
    <w:rsid w:val="00086E57"/>
    <w:rsid w:val="000872E7"/>
    <w:rsid w:val="00087AD8"/>
    <w:rsid w:val="000B398F"/>
    <w:rsid w:val="000B4A15"/>
    <w:rsid w:val="000D445C"/>
    <w:rsid w:val="00112E23"/>
    <w:rsid w:val="00116299"/>
    <w:rsid w:val="001235F9"/>
    <w:rsid w:val="00131087"/>
    <w:rsid w:val="00132984"/>
    <w:rsid w:val="00154E0A"/>
    <w:rsid w:val="001622BA"/>
    <w:rsid w:val="00163C5D"/>
    <w:rsid w:val="00163E9F"/>
    <w:rsid w:val="00166941"/>
    <w:rsid w:val="00167678"/>
    <w:rsid w:val="0017403B"/>
    <w:rsid w:val="001763E1"/>
    <w:rsid w:val="001778E1"/>
    <w:rsid w:val="001869F7"/>
    <w:rsid w:val="00195E7D"/>
    <w:rsid w:val="001A7A48"/>
    <w:rsid w:val="001B1731"/>
    <w:rsid w:val="001B2C19"/>
    <w:rsid w:val="001B2D4D"/>
    <w:rsid w:val="001C3AAE"/>
    <w:rsid w:val="001E0070"/>
    <w:rsid w:val="001E2A95"/>
    <w:rsid w:val="001E2EDE"/>
    <w:rsid w:val="001F049D"/>
    <w:rsid w:val="001F3A68"/>
    <w:rsid w:val="002002FE"/>
    <w:rsid w:val="00206B8C"/>
    <w:rsid w:val="00210DF9"/>
    <w:rsid w:val="00212826"/>
    <w:rsid w:val="00216DB6"/>
    <w:rsid w:val="00217AE5"/>
    <w:rsid w:val="002217DC"/>
    <w:rsid w:val="0022770F"/>
    <w:rsid w:val="00232B31"/>
    <w:rsid w:val="00233208"/>
    <w:rsid w:val="002365F2"/>
    <w:rsid w:val="00240743"/>
    <w:rsid w:val="00245F74"/>
    <w:rsid w:val="00251970"/>
    <w:rsid w:val="00261617"/>
    <w:rsid w:val="00262AED"/>
    <w:rsid w:val="00264CF2"/>
    <w:rsid w:val="002675A1"/>
    <w:rsid w:val="00267AB5"/>
    <w:rsid w:val="00272F4C"/>
    <w:rsid w:val="00273218"/>
    <w:rsid w:val="00275B2A"/>
    <w:rsid w:val="00277FD9"/>
    <w:rsid w:val="00282A84"/>
    <w:rsid w:val="00283685"/>
    <w:rsid w:val="00285B23"/>
    <w:rsid w:val="002937A2"/>
    <w:rsid w:val="002C1FCD"/>
    <w:rsid w:val="002C204E"/>
    <w:rsid w:val="002C605F"/>
    <w:rsid w:val="002C7061"/>
    <w:rsid w:val="002D1E2B"/>
    <w:rsid w:val="002D58D2"/>
    <w:rsid w:val="002E3D70"/>
    <w:rsid w:val="002E5AA3"/>
    <w:rsid w:val="002F0537"/>
    <w:rsid w:val="002F1EC7"/>
    <w:rsid w:val="002F7351"/>
    <w:rsid w:val="00301465"/>
    <w:rsid w:val="00302D9A"/>
    <w:rsid w:val="00304E22"/>
    <w:rsid w:val="00307382"/>
    <w:rsid w:val="00323F37"/>
    <w:rsid w:val="003240D6"/>
    <w:rsid w:val="00331FF4"/>
    <w:rsid w:val="00332CA9"/>
    <w:rsid w:val="003403B8"/>
    <w:rsid w:val="003468F3"/>
    <w:rsid w:val="00351C4F"/>
    <w:rsid w:val="00355187"/>
    <w:rsid w:val="00361424"/>
    <w:rsid w:val="00364FA0"/>
    <w:rsid w:val="003660BA"/>
    <w:rsid w:val="00381278"/>
    <w:rsid w:val="003822A8"/>
    <w:rsid w:val="00385846"/>
    <w:rsid w:val="003861E5"/>
    <w:rsid w:val="00387695"/>
    <w:rsid w:val="00390E95"/>
    <w:rsid w:val="003A2399"/>
    <w:rsid w:val="003A4B2D"/>
    <w:rsid w:val="003B3DDD"/>
    <w:rsid w:val="003B4664"/>
    <w:rsid w:val="003B745E"/>
    <w:rsid w:val="003C5EB7"/>
    <w:rsid w:val="003D6FEB"/>
    <w:rsid w:val="003E019C"/>
    <w:rsid w:val="003E4725"/>
    <w:rsid w:val="003E5AA5"/>
    <w:rsid w:val="003F41EA"/>
    <w:rsid w:val="003F64F9"/>
    <w:rsid w:val="003F6F7C"/>
    <w:rsid w:val="003F70F6"/>
    <w:rsid w:val="003F7B4C"/>
    <w:rsid w:val="00417DDF"/>
    <w:rsid w:val="00424E7D"/>
    <w:rsid w:val="00434BEB"/>
    <w:rsid w:val="004471B7"/>
    <w:rsid w:val="0045012E"/>
    <w:rsid w:val="004508FA"/>
    <w:rsid w:val="00456D56"/>
    <w:rsid w:val="00457DA2"/>
    <w:rsid w:val="00463A9A"/>
    <w:rsid w:val="00464626"/>
    <w:rsid w:val="00474C4C"/>
    <w:rsid w:val="00483D17"/>
    <w:rsid w:val="00495B22"/>
    <w:rsid w:val="004A0DF7"/>
    <w:rsid w:val="004A1C93"/>
    <w:rsid w:val="004A5244"/>
    <w:rsid w:val="004A61E5"/>
    <w:rsid w:val="004B4236"/>
    <w:rsid w:val="004B4AC3"/>
    <w:rsid w:val="004B6364"/>
    <w:rsid w:val="004C0937"/>
    <w:rsid w:val="004D53C9"/>
    <w:rsid w:val="004D74AA"/>
    <w:rsid w:val="004E4C13"/>
    <w:rsid w:val="004F4C11"/>
    <w:rsid w:val="005112A2"/>
    <w:rsid w:val="00513490"/>
    <w:rsid w:val="005242D2"/>
    <w:rsid w:val="0052445F"/>
    <w:rsid w:val="005361CD"/>
    <w:rsid w:val="00545663"/>
    <w:rsid w:val="005547BA"/>
    <w:rsid w:val="00557014"/>
    <w:rsid w:val="00557BE8"/>
    <w:rsid w:val="005613F5"/>
    <w:rsid w:val="00572BC4"/>
    <w:rsid w:val="00573469"/>
    <w:rsid w:val="00574EF6"/>
    <w:rsid w:val="00584274"/>
    <w:rsid w:val="005A06F8"/>
    <w:rsid w:val="005A29CA"/>
    <w:rsid w:val="005A3730"/>
    <w:rsid w:val="005A3B01"/>
    <w:rsid w:val="005B44A4"/>
    <w:rsid w:val="005B4A05"/>
    <w:rsid w:val="005B67B1"/>
    <w:rsid w:val="005C044F"/>
    <w:rsid w:val="005D4945"/>
    <w:rsid w:val="005D7E93"/>
    <w:rsid w:val="005E361C"/>
    <w:rsid w:val="005E4B7F"/>
    <w:rsid w:val="005F405E"/>
    <w:rsid w:val="005F40C2"/>
    <w:rsid w:val="0061135D"/>
    <w:rsid w:val="006123FC"/>
    <w:rsid w:val="00614E7C"/>
    <w:rsid w:val="0062213E"/>
    <w:rsid w:val="00624DEF"/>
    <w:rsid w:val="00625A40"/>
    <w:rsid w:val="00634F2D"/>
    <w:rsid w:val="00635267"/>
    <w:rsid w:val="00637B39"/>
    <w:rsid w:val="0064393D"/>
    <w:rsid w:val="0064609F"/>
    <w:rsid w:val="00653471"/>
    <w:rsid w:val="00653E89"/>
    <w:rsid w:val="00657870"/>
    <w:rsid w:val="00665708"/>
    <w:rsid w:val="00665E56"/>
    <w:rsid w:val="00680A62"/>
    <w:rsid w:val="00682108"/>
    <w:rsid w:val="006822D0"/>
    <w:rsid w:val="00685E2B"/>
    <w:rsid w:val="00691C4A"/>
    <w:rsid w:val="006B1AC6"/>
    <w:rsid w:val="006B29E0"/>
    <w:rsid w:val="006B4D9F"/>
    <w:rsid w:val="006B5AC6"/>
    <w:rsid w:val="006C11C7"/>
    <w:rsid w:val="006C75DF"/>
    <w:rsid w:val="006E3C77"/>
    <w:rsid w:val="006E5B85"/>
    <w:rsid w:val="006F488A"/>
    <w:rsid w:val="006F657E"/>
    <w:rsid w:val="00702CED"/>
    <w:rsid w:val="00707919"/>
    <w:rsid w:val="00714C49"/>
    <w:rsid w:val="007300A3"/>
    <w:rsid w:val="007334F9"/>
    <w:rsid w:val="00733F5C"/>
    <w:rsid w:val="00735986"/>
    <w:rsid w:val="0073676C"/>
    <w:rsid w:val="007369AD"/>
    <w:rsid w:val="007423E5"/>
    <w:rsid w:val="00744CD4"/>
    <w:rsid w:val="00745959"/>
    <w:rsid w:val="0076347E"/>
    <w:rsid w:val="00763F82"/>
    <w:rsid w:val="0076739D"/>
    <w:rsid w:val="00770294"/>
    <w:rsid w:val="0077627F"/>
    <w:rsid w:val="00780D64"/>
    <w:rsid w:val="00786036"/>
    <w:rsid w:val="007A0DBB"/>
    <w:rsid w:val="007A49FE"/>
    <w:rsid w:val="007A5522"/>
    <w:rsid w:val="007A71D5"/>
    <w:rsid w:val="007B2802"/>
    <w:rsid w:val="007B38FC"/>
    <w:rsid w:val="007B603E"/>
    <w:rsid w:val="007C3E85"/>
    <w:rsid w:val="007D2950"/>
    <w:rsid w:val="007D4F54"/>
    <w:rsid w:val="007D53E3"/>
    <w:rsid w:val="007F02F3"/>
    <w:rsid w:val="007F0D9B"/>
    <w:rsid w:val="007F25A5"/>
    <w:rsid w:val="00801BA2"/>
    <w:rsid w:val="00806B38"/>
    <w:rsid w:val="008070B1"/>
    <w:rsid w:val="00807275"/>
    <w:rsid w:val="008115D0"/>
    <w:rsid w:val="00815954"/>
    <w:rsid w:val="00816D7B"/>
    <w:rsid w:val="008170DA"/>
    <w:rsid w:val="00825BE3"/>
    <w:rsid w:val="00825FA3"/>
    <w:rsid w:val="00834A27"/>
    <w:rsid w:val="00836348"/>
    <w:rsid w:val="00837F5E"/>
    <w:rsid w:val="00844340"/>
    <w:rsid w:val="00846AF5"/>
    <w:rsid w:val="008769B9"/>
    <w:rsid w:val="00882CB3"/>
    <w:rsid w:val="00884530"/>
    <w:rsid w:val="008A6B0B"/>
    <w:rsid w:val="008B19BA"/>
    <w:rsid w:val="008C57E1"/>
    <w:rsid w:val="008D50B8"/>
    <w:rsid w:val="008E2CD9"/>
    <w:rsid w:val="008E79E2"/>
    <w:rsid w:val="008F0ADF"/>
    <w:rsid w:val="008F0B0E"/>
    <w:rsid w:val="009021A8"/>
    <w:rsid w:val="0090319E"/>
    <w:rsid w:val="00916727"/>
    <w:rsid w:val="00916FDB"/>
    <w:rsid w:val="0093089D"/>
    <w:rsid w:val="00934621"/>
    <w:rsid w:val="00936B99"/>
    <w:rsid w:val="0094440C"/>
    <w:rsid w:val="00944A59"/>
    <w:rsid w:val="00944F09"/>
    <w:rsid w:val="0096728D"/>
    <w:rsid w:val="0098355B"/>
    <w:rsid w:val="00987445"/>
    <w:rsid w:val="009876A6"/>
    <w:rsid w:val="00990797"/>
    <w:rsid w:val="0099429C"/>
    <w:rsid w:val="009C276B"/>
    <w:rsid w:val="009C4E1F"/>
    <w:rsid w:val="009C6A4C"/>
    <w:rsid w:val="009E6C2F"/>
    <w:rsid w:val="009E6D47"/>
    <w:rsid w:val="00A01BDF"/>
    <w:rsid w:val="00A0232C"/>
    <w:rsid w:val="00A06F50"/>
    <w:rsid w:val="00A153BD"/>
    <w:rsid w:val="00A159E2"/>
    <w:rsid w:val="00A24752"/>
    <w:rsid w:val="00A3044C"/>
    <w:rsid w:val="00A437CF"/>
    <w:rsid w:val="00A44A45"/>
    <w:rsid w:val="00A5244C"/>
    <w:rsid w:val="00A5446A"/>
    <w:rsid w:val="00A71BD8"/>
    <w:rsid w:val="00A777B3"/>
    <w:rsid w:val="00A77F69"/>
    <w:rsid w:val="00A83C99"/>
    <w:rsid w:val="00A9593C"/>
    <w:rsid w:val="00A95EC3"/>
    <w:rsid w:val="00AA48A9"/>
    <w:rsid w:val="00AB63AC"/>
    <w:rsid w:val="00AC2213"/>
    <w:rsid w:val="00AC6A53"/>
    <w:rsid w:val="00AE398A"/>
    <w:rsid w:val="00AE4A62"/>
    <w:rsid w:val="00AE4BAE"/>
    <w:rsid w:val="00AE7605"/>
    <w:rsid w:val="00AE7B04"/>
    <w:rsid w:val="00AF12EC"/>
    <w:rsid w:val="00AF4328"/>
    <w:rsid w:val="00AF6A57"/>
    <w:rsid w:val="00B14E07"/>
    <w:rsid w:val="00B40162"/>
    <w:rsid w:val="00B468B5"/>
    <w:rsid w:val="00B55964"/>
    <w:rsid w:val="00B55D13"/>
    <w:rsid w:val="00B5732B"/>
    <w:rsid w:val="00B85E6B"/>
    <w:rsid w:val="00B95711"/>
    <w:rsid w:val="00BA7E01"/>
    <w:rsid w:val="00BB731A"/>
    <w:rsid w:val="00BD0714"/>
    <w:rsid w:val="00BD6B8B"/>
    <w:rsid w:val="00BE3DE3"/>
    <w:rsid w:val="00BE5F1A"/>
    <w:rsid w:val="00BF0B51"/>
    <w:rsid w:val="00BF332E"/>
    <w:rsid w:val="00C014E0"/>
    <w:rsid w:val="00C016F5"/>
    <w:rsid w:val="00C11B12"/>
    <w:rsid w:val="00C12971"/>
    <w:rsid w:val="00C159BB"/>
    <w:rsid w:val="00C17497"/>
    <w:rsid w:val="00C43B98"/>
    <w:rsid w:val="00C45F4F"/>
    <w:rsid w:val="00C61787"/>
    <w:rsid w:val="00C75965"/>
    <w:rsid w:val="00C75F0D"/>
    <w:rsid w:val="00C77125"/>
    <w:rsid w:val="00C8121A"/>
    <w:rsid w:val="00C81D0B"/>
    <w:rsid w:val="00C8307F"/>
    <w:rsid w:val="00C847CB"/>
    <w:rsid w:val="00C86161"/>
    <w:rsid w:val="00CA4229"/>
    <w:rsid w:val="00CC5678"/>
    <w:rsid w:val="00CD48FE"/>
    <w:rsid w:val="00CD5B30"/>
    <w:rsid w:val="00CD6E61"/>
    <w:rsid w:val="00CF33CB"/>
    <w:rsid w:val="00D01473"/>
    <w:rsid w:val="00D0340A"/>
    <w:rsid w:val="00D17294"/>
    <w:rsid w:val="00D36CC1"/>
    <w:rsid w:val="00D37D09"/>
    <w:rsid w:val="00D42FDC"/>
    <w:rsid w:val="00D50287"/>
    <w:rsid w:val="00D51491"/>
    <w:rsid w:val="00D52565"/>
    <w:rsid w:val="00D5682C"/>
    <w:rsid w:val="00D60C35"/>
    <w:rsid w:val="00D62173"/>
    <w:rsid w:val="00D624B9"/>
    <w:rsid w:val="00D63203"/>
    <w:rsid w:val="00D7397D"/>
    <w:rsid w:val="00D75162"/>
    <w:rsid w:val="00D767DE"/>
    <w:rsid w:val="00D82358"/>
    <w:rsid w:val="00D82491"/>
    <w:rsid w:val="00D83046"/>
    <w:rsid w:val="00D84DDC"/>
    <w:rsid w:val="00D944FF"/>
    <w:rsid w:val="00D96CB2"/>
    <w:rsid w:val="00D96E6A"/>
    <w:rsid w:val="00DA41CF"/>
    <w:rsid w:val="00DB381E"/>
    <w:rsid w:val="00DD70F8"/>
    <w:rsid w:val="00DE12AF"/>
    <w:rsid w:val="00DF0203"/>
    <w:rsid w:val="00DF0DA2"/>
    <w:rsid w:val="00E04468"/>
    <w:rsid w:val="00E07D86"/>
    <w:rsid w:val="00E138C8"/>
    <w:rsid w:val="00E169CE"/>
    <w:rsid w:val="00E2758D"/>
    <w:rsid w:val="00E343AA"/>
    <w:rsid w:val="00E753BD"/>
    <w:rsid w:val="00E7668F"/>
    <w:rsid w:val="00E81C5C"/>
    <w:rsid w:val="00E82AB1"/>
    <w:rsid w:val="00E83AB8"/>
    <w:rsid w:val="00E90563"/>
    <w:rsid w:val="00E9229D"/>
    <w:rsid w:val="00E97C23"/>
    <w:rsid w:val="00EA3EE0"/>
    <w:rsid w:val="00EB3FBB"/>
    <w:rsid w:val="00EC3873"/>
    <w:rsid w:val="00EC4AF8"/>
    <w:rsid w:val="00EC5CFA"/>
    <w:rsid w:val="00EC7E29"/>
    <w:rsid w:val="00EE09B8"/>
    <w:rsid w:val="00EE2726"/>
    <w:rsid w:val="00F02C0E"/>
    <w:rsid w:val="00F10339"/>
    <w:rsid w:val="00F22D09"/>
    <w:rsid w:val="00F240D4"/>
    <w:rsid w:val="00F27CEB"/>
    <w:rsid w:val="00F40876"/>
    <w:rsid w:val="00F830DB"/>
    <w:rsid w:val="00F86F54"/>
    <w:rsid w:val="00F91192"/>
    <w:rsid w:val="00F977F2"/>
    <w:rsid w:val="00FA32AB"/>
    <w:rsid w:val="00FA5CD3"/>
    <w:rsid w:val="00FB2BA7"/>
    <w:rsid w:val="00FB3E6D"/>
    <w:rsid w:val="00FB45E9"/>
    <w:rsid w:val="00FB548C"/>
    <w:rsid w:val="00FC3B64"/>
    <w:rsid w:val="00FC4235"/>
    <w:rsid w:val="00FD3954"/>
    <w:rsid w:val="00FD4A78"/>
    <w:rsid w:val="00FD5ADE"/>
    <w:rsid w:val="00FD7869"/>
    <w:rsid w:val="00FF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97D"/>
    <w:rPr>
      <w:color w:val="0000FF"/>
      <w:u w:val="single"/>
    </w:rPr>
  </w:style>
  <w:style w:type="paragraph" w:customStyle="1" w:styleId="NormalJustified">
    <w:name w:val="Normal + Justified"/>
    <w:basedOn w:val="Normal"/>
    <w:rsid w:val="009E6C2F"/>
    <w:pPr>
      <w:tabs>
        <w:tab w:val="left" w:pos="2340"/>
        <w:tab w:val="left" w:pos="7380"/>
      </w:tabs>
      <w:spacing w:after="0" w:line="240" w:lineRule="auto"/>
      <w:jc w:val="both"/>
    </w:pPr>
    <w:rPr>
      <w:rFonts w:eastAsia="Times New Roman"/>
      <w:sz w:val="16"/>
      <w:szCs w:val="16"/>
    </w:rPr>
  </w:style>
  <w:style w:type="character" w:customStyle="1" w:styleId="hps">
    <w:name w:val="hps"/>
    <w:basedOn w:val="DefaultParagraphFont"/>
    <w:rsid w:val="009E6C2F"/>
  </w:style>
  <w:style w:type="paragraph" w:styleId="ListParagraph">
    <w:name w:val="List Paragraph"/>
    <w:basedOn w:val="Normal"/>
    <w:uiPriority w:val="34"/>
    <w:qFormat/>
    <w:rsid w:val="000265E7"/>
    <w:pPr>
      <w:ind w:left="720"/>
      <w:contextualSpacing/>
    </w:pPr>
    <w:rPr>
      <w:sz w:val="26"/>
      <w:szCs w:val="24"/>
    </w:rPr>
  </w:style>
  <w:style w:type="paragraph" w:styleId="BalloonText">
    <w:name w:val="Balloon Text"/>
    <w:basedOn w:val="Normal"/>
    <w:link w:val="BalloonTextChar"/>
    <w:uiPriority w:val="99"/>
    <w:semiHidden/>
    <w:unhideWhenUsed/>
    <w:rsid w:val="00116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299"/>
    <w:rPr>
      <w:rFonts w:ascii="Tahoma" w:hAnsi="Tahoma" w:cs="Tahoma"/>
      <w:sz w:val="16"/>
      <w:szCs w:val="16"/>
    </w:rPr>
  </w:style>
  <w:style w:type="table" w:styleId="TableGrid">
    <w:name w:val="Table Grid"/>
    <w:basedOn w:val="TableNormal"/>
    <w:uiPriority w:val="59"/>
    <w:rsid w:val="0030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53E89"/>
    <w:pPr>
      <w:spacing w:after="0" w:line="240" w:lineRule="auto"/>
      <w:jc w:val="both"/>
    </w:pPr>
    <w:rPr>
      <w:rFonts w:ascii=".VnTime" w:eastAsia="Times New Roman" w:hAnsi=".VnTime"/>
      <w:sz w:val="28"/>
      <w:szCs w:val="28"/>
    </w:rPr>
  </w:style>
  <w:style w:type="character" w:customStyle="1" w:styleId="BodyTextChar">
    <w:name w:val="Body Text Char"/>
    <w:link w:val="BodyText"/>
    <w:rsid w:val="00653E89"/>
    <w:rPr>
      <w:rFonts w:ascii=".VnTime" w:eastAsia="Times New Roman" w:hAnsi=".VnTime"/>
      <w:sz w:val="28"/>
      <w:szCs w:val="28"/>
    </w:rPr>
  </w:style>
  <w:style w:type="paragraph" w:styleId="FootnoteText">
    <w:name w:val="footnote text"/>
    <w:basedOn w:val="Normal"/>
    <w:link w:val="FootnoteTextChar"/>
    <w:semiHidden/>
    <w:rsid w:val="00682108"/>
    <w:rPr>
      <w:sz w:val="20"/>
      <w:szCs w:val="20"/>
    </w:rPr>
  </w:style>
  <w:style w:type="character" w:customStyle="1" w:styleId="FootnoteTextChar">
    <w:name w:val="Footnote Text Char"/>
    <w:basedOn w:val="DefaultParagraphFont"/>
    <w:link w:val="FootnoteText"/>
    <w:semiHidden/>
    <w:rsid w:val="00682108"/>
  </w:style>
  <w:style w:type="character" w:styleId="FootnoteReference">
    <w:name w:val="footnote reference"/>
    <w:semiHidden/>
    <w:rsid w:val="006821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97D"/>
    <w:rPr>
      <w:color w:val="0000FF"/>
      <w:u w:val="single"/>
    </w:rPr>
  </w:style>
  <w:style w:type="paragraph" w:customStyle="1" w:styleId="NormalJustified">
    <w:name w:val="Normal + Justified"/>
    <w:basedOn w:val="Normal"/>
    <w:rsid w:val="009E6C2F"/>
    <w:pPr>
      <w:tabs>
        <w:tab w:val="left" w:pos="2340"/>
        <w:tab w:val="left" w:pos="7380"/>
      </w:tabs>
      <w:spacing w:after="0" w:line="240" w:lineRule="auto"/>
      <w:jc w:val="both"/>
    </w:pPr>
    <w:rPr>
      <w:rFonts w:eastAsia="Times New Roman"/>
      <w:sz w:val="16"/>
      <w:szCs w:val="16"/>
    </w:rPr>
  </w:style>
  <w:style w:type="character" w:customStyle="1" w:styleId="hps">
    <w:name w:val="hps"/>
    <w:basedOn w:val="DefaultParagraphFont"/>
    <w:rsid w:val="009E6C2F"/>
  </w:style>
  <w:style w:type="paragraph" w:styleId="ListParagraph">
    <w:name w:val="List Paragraph"/>
    <w:basedOn w:val="Normal"/>
    <w:uiPriority w:val="34"/>
    <w:qFormat/>
    <w:rsid w:val="000265E7"/>
    <w:pPr>
      <w:ind w:left="720"/>
      <w:contextualSpacing/>
    </w:pPr>
    <w:rPr>
      <w:sz w:val="26"/>
      <w:szCs w:val="24"/>
    </w:rPr>
  </w:style>
  <w:style w:type="paragraph" w:styleId="BalloonText">
    <w:name w:val="Balloon Text"/>
    <w:basedOn w:val="Normal"/>
    <w:link w:val="BalloonTextChar"/>
    <w:uiPriority w:val="99"/>
    <w:semiHidden/>
    <w:unhideWhenUsed/>
    <w:rsid w:val="00116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299"/>
    <w:rPr>
      <w:rFonts w:ascii="Tahoma" w:hAnsi="Tahoma" w:cs="Tahoma"/>
      <w:sz w:val="16"/>
      <w:szCs w:val="16"/>
    </w:rPr>
  </w:style>
  <w:style w:type="table" w:styleId="TableGrid">
    <w:name w:val="Table Grid"/>
    <w:basedOn w:val="TableNormal"/>
    <w:uiPriority w:val="59"/>
    <w:rsid w:val="0030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53E89"/>
    <w:pPr>
      <w:spacing w:after="0" w:line="240" w:lineRule="auto"/>
      <w:jc w:val="both"/>
    </w:pPr>
    <w:rPr>
      <w:rFonts w:ascii=".VnTime" w:eastAsia="Times New Roman" w:hAnsi=".VnTime"/>
      <w:sz w:val="28"/>
      <w:szCs w:val="28"/>
    </w:rPr>
  </w:style>
  <w:style w:type="character" w:customStyle="1" w:styleId="BodyTextChar">
    <w:name w:val="Body Text Char"/>
    <w:link w:val="BodyText"/>
    <w:rsid w:val="00653E89"/>
    <w:rPr>
      <w:rFonts w:ascii=".VnTime" w:eastAsia="Times New Roman" w:hAnsi=".VnTime"/>
      <w:sz w:val="28"/>
      <w:szCs w:val="28"/>
    </w:rPr>
  </w:style>
  <w:style w:type="paragraph" w:styleId="FootnoteText">
    <w:name w:val="footnote text"/>
    <w:basedOn w:val="Normal"/>
    <w:link w:val="FootnoteTextChar"/>
    <w:semiHidden/>
    <w:rsid w:val="00682108"/>
    <w:rPr>
      <w:sz w:val="20"/>
      <w:szCs w:val="20"/>
    </w:rPr>
  </w:style>
  <w:style w:type="character" w:customStyle="1" w:styleId="FootnoteTextChar">
    <w:name w:val="Footnote Text Char"/>
    <w:basedOn w:val="DefaultParagraphFont"/>
    <w:link w:val="FootnoteText"/>
    <w:semiHidden/>
    <w:rsid w:val="00682108"/>
  </w:style>
  <w:style w:type="character" w:styleId="FootnoteReference">
    <w:name w:val="footnote reference"/>
    <w:semiHidden/>
    <w:rsid w:val="00682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8801">
      <w:bodyDiv w:val="1"/>
      <w:marLeft w:val="0"/>
      <w:marRight w:val="0"/>
      <w:marTop w:val="0"/>
      <w:marBottom w:val="0"/>
      <w:divBdr>
        <w:top w:val="none" w:sz="0" w:space="0" w:color="auto"/>
        <w:left w:val="none" w:sz="0" w:space="0" w:color="auto"/>
        <w:bottom w:val="none" w:sz="0" w:space="0" w:color="auto"/>
        <w:right w:val="none" w:sz="0" w:space="0" w:color="auto"/>
      </w:divBdr>
      <w:divsChild>
        <w:div w:id="449319934">
          <w:marLeft w:val="0"/>
          <w:marRight w:val="0"/>
          <w:marTop w:val="0"/>
          <w:marBottom w:val="0"/>
          <w:divBdr>
            <w:top w:val="none" w:sz="0" w:space="0" w:color="auto"/>
            <w:left w:val="none" w:sz="0" w:space="0" w:color="auto"/>
            <w:bottom w:val="none" w:sz="0" w:space="0" w:color="auto"/>
            <w:right w:val="none" w:sz="0" w:space="0" w:color="auto"/>
          </w:divBdr>
        </w:div>
        <w:div w:id="521165277">
          <w:marLeft w:val="0"/>
          <w:marRight w:val="0"/>
          <w:marTop w:val="0"/>
          <w:marBottom w:val="0"/>
          <w:divBdr>
            <w:top w:val="none" w:sz="0" w:space="0" w:color="auto"/>
            <w:left w:val="none" w:sz="0" w:space="0" w:color="auto"/>
            <w:bottom w:val="none" w:sz="0" w:space="0" w:color="auto"/>
            <w:right w:val="none" w:sz="0" w:space="0" w:color="auto"/>
          </w:divBdr>
        </w:div>
        <w:div w:id="1711950248">
          <w:marLeft w:val="0"/>
          <w:marRight w:val="0"/>
          <w:marTop w:val="0"/>
          <w:marBottom w:val="0"/>
          <w:divBdr>
            <w:top w:val="none" w:sz="0" w:space="0" w:color="auto"/>
            <w:left w:val="none" w:sz="0" w:space="0" w:color="auto"/>
            <w:bottom w:val="none" w:sz="0" w:space="0" w:color="auto"/>
            <w:right w:val="none" w:sz="0" w:space="0" w:color="auto"/>
          </w:divBdr>
        </w:div>
        <w:div w:id="1755667940">
          <w:marLeft w:val="0"/>
          <w:marRight w:val="0"/>
          <w:marTop w:val="0"/>
          <w:marBottom w:val="0"/>
          <w:divBdr>
            <w:top w:val="none" w:sz="0" w:space="0" w:color="auto"/>
            <w:left w:val="none" w:sz="0" w:space="0" w:color="auto"/>
            <w:bottom w:val="none" w:sz="0" w:space="0" w:color="auto"/>
            <w:right w:val="none" w:sz="0" w:space="0" w:color="auto"/>
          </w:divBdr>
        </w:div>
        <w:div w:id="1939478712">
          <w:marLeft w:val="0"/>
          <w:marRight w:val="0"/>
          <w:marTop w:val="0"/>
          <w:marBottom w:val="0"/>
          <w:divBdr>
            <w:top w:val="none" w:sz="0" w:space="0" w:color="auto"/>
            <w:left w:val="none" w:sz="0" w:space="0" w:color="auto"/>
            <w:bottom w:val="none" w:sz="0" w:space="0" w:color="auto"/>
            <w:right w:val="none" w:sz="0" w:space="0" w:color="auto"/>
          </w:divBdr>
        </w:div>
      </w:divsChild>
    </w:div>
    <w:div w:id="827284619">
      <w:bodyDiv w:val="1"/>
      <w:marLeft w:val="0"/>
      <w:marRight w:val="0"/>
      <w:marTop w:val="0"/>
      <w:marBottom w:val="0"/>
      <w:divBdr>
        <w:top w:val="none" w:sz="0" w:space="0" w:color="auto"/>
        <w:left w:val="none" w:sz="0" w:space="0" w:color="auto"/>
        <w:bottom w:val="none" w:sz="0" w:space="0" w:color="auto"/>
        <w:right w:val="none" w:sz="0" w:space="0" w:color="auto"/>
      </w:divBdr>
    </w:div>
    <w:div w:id="1279678433">
      <w:bodyDiv w:val="1"/>
      <w:marLeft w:val="0"/>
      <w:marRight w:val="0"/>
      <w:marTop w:val="0"/>
      <w:marBottom w:val="0"/>
      <w:divBdr>
        <w:top w:val="none" w:sz="0" w:space="0" w:color="auto"/>
        <w:left w:val="none" w:sz="0" w:space="0" w:color="auto"/>
        <w:bottom w:val="none" w:sz="0" w:space="0" w:color="auto"/>
        <w:right w:val="none" w:sz="0" w:space="0" w:color="auto"/>
      </w:divBdr>
    </w:div>
    <w:div w:id="1979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clu-in.org/conf/tio/xrf_082808/cd/NIST-Standard-Reference-Materials/NIST_SRM_27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truongminhdnu@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yperlink" Target="http://www.ortec-online.com/download/Application-Note-AN59-Counting-Statistics-Controls-Detection-Limits-Peak-Precisi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52D99-69A5-4BF0-9043-D73ADB66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XÁC ĐỊNH SELENIUM TRONG MẪU CHUẨN ĐỊA CHẤT BẰNG PHƯƠNG PHÁP TRÙNG PHÙNG GAMMA-GAMMA</vt:lpstr>
    </vt:vector>
  </TitlesOfParts>
  <Company> </Company>
  <LinksUpToDate>false</LinksUpToDate>
  <CharactersWithSpaces>14955</CharactersWithSpaces>
  <SharedDoc>false</SharedDoc>
  <HLinks>
    <vt:vector size="12" baseType="variant">
      <vt:variant>
        <vt:i4>8061018</vt:i4>
      </vt:variant>
      <vt:variant>
        <vt:i4>15</vt:i4>
      </vt:variant>
      <vt:variant>
        <vt:i4>0</vt:i4>
      </vt:variant>
      <vt:variant>
        <vt:i4>5</vt:i4>
      </vt:variant>
      <vt:variant>
        <vt:lpwstr>mailto:truongminhdnu@gmail.com</vt:lpwstr>
      </vt:variant>
      <vt:variant>
        <vt:lpwstr/>
      </vt:variant>
      <vt:variant>
        <vt:i4>8061018</vt:i4>
      </vt:variant>
      <vt:variant>
        <vt:i4>12</vt:i4>
      </vt:variant>
      <vt:variant>
        <vt:i4>0</vt:i4>
      </vt:variant>
      <vt:variant>
        <vt:i4>5</vt:i4>
      </vt:variant>
      <vt:variant>
        <vt:lpwstr>mailto:truongminhdnu@gmail.com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SELENIUM TRONG MẪU CHUẨN ĐỊA CHẤT BẰNG PHƯƠNG PHÁP TRÙNG PHÙNG GAMMA-GAMMA</dc:title>
  <dc:subject/>
  <dc:creator>Windows User</dc:creator>
  <cp:keywords/>
  <cp:lastModifiedBy>MINHDNU</cp:lastModifiedBy>
  <cp:revision>15</cp:revision>
  <cp:lastPrinted>2014-04-29T07:58:00Z</cp:lastPrinted>
  <dcterms:created xsi:type="dcterms:W3CDTF">2014-07-16T17:23:00Z</dcterms:created>
  <dcterms:modified xsi:type="dcterms:W3CDTF">2014-12-15T11:59:00Z</dcterms:modified>
</cp:coreProperties>
</file>