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03EDC" w14:textId="793CBDD4" w:rsidR="00704FAE" w:rsidRDefault="00704FAE" w:rsidP="00054EDF">
      <w:pPr>
        <w:pStyle w:val="02TiubiboEnglish"/>
        <w:spacing w:before="240" w:after="120"/>
        <w:rPr>
          <w:b/>
          <w:sz w:val="26"/>
        </w:rPr>
      </w:pPr>
      <w:r>
        <w:rPr>
          <w:b/>
          <w:sz w:val="26"/>
        </w:rPr>
        <w:t>THỰC NGHIỆM XÁC ĐỊNH KHỐI LƯỢNG, THÀNH PHẦN VÀ TỶ LỆ VẬT LIỆU TÁI CHẾ TRONG chất thải rắn sinh hoạt TẠI thành phố buôn ma thuột, TỈNH DAKLAK</w:t>
      </w:r>
    </w:p>
    <w:p w14:paraId="0FAE7BB7" w14:textId="30546E65" w:rsidR="00704FAE" w:rsidRPr="002A5FC5" w:rsidRDefault="00704FAE" w:rsidP="001F1819">
      <w:pPr>
        <w:widowControl/>
        <w:spacing w:before="120" w:after="240"/>
        <w:ind w:firstLine="0"/>
        <w:jc w:val="center"/>
        <w:rPr>
          <w:sz w:val="24"/>
          <w:szCs w:val="24"/>
        </w:rPr>
      </w:pPr>
      <w:r w:rsidRPr="00054EDF">
        <w:rPr>
          <w:sz w:val="24"/>
          <w:szCs w:val="24"/>
        </w:rPr>
        <w:t>EXPERIMENT OF QUANTIFICATION AND CHARACTERIZATION OF HOUSEHOLD SOLID WASTE AND RATIO OF RECYCLED MATERIALS IN BUONMATHUOT CITY, DAKLAK PROVINCE</w:t>
      </w:r>
    </w:p>
    <w:p w14:paraId="75C4306F" w14:textId="77777777" w:rsidR="001F1819" w:rsidRPr="005971EE" w:rsidRDefault="001F1819" w:rsidP="001F1819">
      <w:pPr>
        <w:pStyle w:val="03Tntcgibibo"/>
        <w:rPr>
          <w:vertAlign w:val="superscript"/>
        </w:rPr>
      </w:pPr>
      <w:r>
        <w:t xml:space="preserve">Nguyễn Hoàng Phương </w:t>
      </w:r>
      <w:r>
        <w:rPr>
          <w:vertAlign w:val="superscript"/>
        </w:rPr>
        <w:t>1</w:t>
      </w:r>
      <w:r>
        <w:t xml:space="preserve">, Nguyễn Văn Quý </w:t>
      </w:r>
      <w:r>
        <w:rPr>
          <w:vertAlign w:val="superscript"/>
        </w:rPr>
        <w:t>2</w:t>
      </w:r>
      <w:r>
        <w:t xml:space="preserve">, Đàm Nguyễn Hoài An </w:t>
      </w:r>
      <w:r>
        <w:rPr>
          <w:vertAlign w:val="superscript"/>
        </w:rPr>
        <w:t>3</w:t>
      </w:r>
      <w:r>
        <w:t xml:space="preserve">, Lê Thị Vân </w:t>
      </w:r>
      <w:r>
        <w:rPr>
          <w:vertAlign w:val="superscript"/>
        </w:rPr>
        <w:t>1</w:t>
      </w:r>
    </w:p>
    <w:p w14:paraId="0D1D4A94" w14:textId="77777777" w:rsidR="004615E1" w:rsidRDefault="001F1819" w:rsidP="004615E1">
      <w:pPr>
        <w:pStyle w:val="04nvcngtccatcgi"/>
      </w:pPr>
      <w:r w:rsidRPr="007750F3">
        <w:rPr>
          <w:vertAlign w:val="superscript"/>
        </w:rPr>
        <w:t>1</w:t>
      </w:r>
      <w:r>
        <w:t xml:space="preserve">Khoa Khoa học Tự nhiên và Công nghệ, Trường Đại học Tây Nguyên; Nghiên cứu sinh tại </w:t>
      </w:r>
    </w:p>
    <w:p w14:paraId="758243CB" w14:textId="37C2CF9B" w:rsidR="001F1819" w:rsidRDefault="001F1819" w:rsidP="004615E1">
      <w:pPr>
        <w:pStyle w:val="04nvcngtccatcgi"/>
      </w:pPr>
      <w:r>
        <w:t xml:space="preserve">Trường Đại học Bách khoa Thành phố Hồ Chí Minh; Email: </w:t>
      </w:r>
      <w:hyperlink r:id="rId8" w:history="1">
        <w:r w:rsidRPr="004666F1">
          <w:rPr>
            <w:rStyle w:val="Hyperlink"/>
          </w:rPr>
          <w:t>phuon</w:t>
        </w:r>
        <w:r w:rsidRPr="004666F1">
          <w:rPr>
            <w:rStyle w:val="Hyperlink"/>
          </w:rPr>
          <w:t>g</w:t>
        </w:r>
        <w:r w:rsidRPr="004666F1">
          <w:rPr>
            <w:rStyle w:val="Hyperlink"/>
          </w:rPr>
          <w:t>mt4@gmail.com</w:t>
        </w:r>
      </w:hyperlink>
    </w:p>
    <w:p w14:paraId="216FB1CB" w14:textId="77777777" w:rsidR="001F1819" w:rsidRDefault="001F1819" w:rsidP="001F1819">
      <w:pPr>
        <w:pStyle w:val="04nvcngtccatcgi"/>
      </w:pPr>
      <w:r>
        <w:rPr>
          <w:vertAlign w:val="superscript"/>
        </w:rPr>
        <w:t>2</w:t>
      </w:r>
      <w:r>
        <w:t>Trường Đại học Bách Khoa Thành phố Hồ Chí Minh.</w:t>
      </w:r>
    </w:p>
    <w:p w14:paraId="33CCC85D" w14:textId="55048AA4" w:rsidR="00704FAE" w:rsidRDefault="001F1819" w:rsidP="001F1819">
      <w:pPr>
        <w:pStyle w:val="04nvcngtccatcgi"/>
      </w:pPr>
      <w:r w:rsidRPr="004615E1">
        <w:rPr>
          <w:vertAlign w:val="superscript"/>
        </w:rPr>
        <w:t>3</w:t>
      </w:r>
      <w:r>
        <w:t>Công ty TNHH Môi trường Việt, Daklak.</w:t>
      </w:r>
    </w:p>
    <w:p w14:paraId="36F6FF5D" w14:textId="77777777" w:rsidR="001F1819" w:rsidRDefault="001F1819" w:rsidP="001F1819"/>
    <w:p w14:paraId="3CAF68CE" w14:textId="77777777" w:rsidR="001F1819" w:rsidRPr="001F1819" w:rsidRDefault="001F1819" w:rsidP="001F1819">
      <w:pPr>
        <w:sectPr w:rsidR="001F1819" w:rsidRPr="001F1819" w:rsidSect="00E40F9E">
          <w:headerReference w:type="even" r:id="rId9"/>
          <w:headerReference w:type="default" r:id="rId10"/>
          <w:footerReference w:type="even" r:id="rId11"/>
          <w:pgSz w:w="10773" w:h="15026" w:code="9"/>
          <w:pgMar w:top="567" w:right="567" w:bottom="567" w:left="567" w:header="284" w:footer="284" w:gutter="0"/>
          <w:cols w:space="720"/>
          <w:docGrid w:linePitch="360"/>
        </w:sectPr>
      </w:pPr>
    </w:p>
    <w:p w14:paraId="522F6A0E" w14:textId="2A60F0E8" w:rsidR="00704FAE" w:rsidRPr="00054EDF" w:rsidRDefault="00704FAE" w:rsidP="00704FAE">
      <w:pPr>
        <w:pStyle w:val="05Tmtt-Abstract"/>
        <w:rPr>
          <w:szCs w:val="16"/>
        </w:rPr>
      </w:pPr>
      <w:r w:rsidRPr="00054EDF">
        <w:rPr>
          <w:b/>
          <w:szCs w:val="16"/>
        </w:rPr>
        <w:lastRenderedPageBreak/>
        <w:t>Tóm tắt –</w:t>
      </w:r>
      <w:r w:rsidR="00046239" w:rsidRPr="00054EDF">
        <w:rPr>
          <w:szCs w:val="16"/>
        </w:rPr>
        <w:t xml:space="preserve"> </w:t>
      </w:r>
      <w:r w:rsidRPr="00054EDF">
        <w:rPr>
          <w:szCs w:val="16"/>
        </w:rPr>
        <w:t>Nghiên cứu này xác định khối lượng phát sinh chất thải rắn sinh hoạt bằng đo đạc tại nguồn thải và xác định thành phần trong dòng thải chất thải rắn sinh hoạt của thành phố Buôn Ma Thuột bằng việc phân lo</w:t>
      </w:r>
      <w:r w:rsidR="0053323C" w:rsidRPr="00054EDF">
        <w:rPr>
          <w:szCs w:val="16"/>
        </w:rPr>
        <w:t>ại mẫu chất thải</w:t>
      </w:r>
      <w:r w:rsidRPr="00054EDF">
        <w:rPr>
          <w:szCs w:val="16"/>
        </w:rPr>
        <w:t>. Thông qua nghiên cứu thực nghiệm, các mẫu chất thải  của 208 hộ gia đình đã được cân hàng ngày. Toàn bộ chất thải rắn của mỗi hộ gia đình được thu gom và cân liên tục trong 7 ngày, lặp lại  2 lần. Trong khi đó, có 99 mẫu chất thải rắn đã được lấy để phân loại thành phần. Kết quả nghiên cứu cho thấy, lượng phát thải chất thải rắn trung bình của thành phố là 0</w:t>
      </w:r>
      <w:r w:rsidR="005A1FFB" w:rsidRPr="00054EDF">
        <w:rPr>
          <w:szCs w:val="16"/>
        </w:rPr>
        <w:t>,</w:t>
      </w:r>
      <w:r w:rsidRPr="00054EDF">
        <w:rPr>
          <w:szCs w:val="16"/>
        </w:rPr>
        <w:t>47</w:t>
      </w:r>
      <w:r w:rsidR="007E4623" w:rsidRPr="00054EDF">
        <w:rPr>
          <w:szCs w:val="16"/>
        </w:rPr>
        <w:t xml:space="preserve"> </w:t>
      </w:r>
      <w:r w:rsidR="008A0977" w:rsidRPr="00054EDF">
        <w:rPr>
          <w:szCs w:val="16"/>
        </w:rPr>
        <w:sym w:font="Symbol" w:char="F0B1"/>
      </w:r>
      <w:r w:rsidR="008A0977" w:rsidRPr="00054EDF">
        <w:rPr>
          <w:szCs w:val="16"/>
        </w:rPr>
        <w:t xml:space="preserve"> 0,03</w:t>
      </w:r>
      <w:r w:rsidRPr="00054EDF">
        <w:rPr>
          <w:szCs w:val="16"/>
        </w:rPr>
        <w:t xml:space="preserve"> kg/người/ngày.</w:t>
      </w:r>
      <w:r w:rsidR="00046239" w:rsidRPr="00054EDF">
        <w:rPr>
          <w:szCs w:val="16"/>
        </w:rPr>
        <w:t xml:space="preserve"> C</w:t>
      </w:r>
      <w:r w:rsidRPr="00054EDF">
        <w:rPr>
          <w:szCs w:val="16"/>
        </w:rPr>
        <w:t>hất  thải hữu cơ chiếm tỷ trọng lớn nhất trong chất thải rắn sinh hoạt với 5</w:t>
      </w:r>
      <w:r w:rsidR="002B3C4F" w:rsidRPr="00054EDF">
        <w:rPr>
          <w:szCs w:val="16"/>
        </w:rPr>
        <w:t>6</w:t>
      </w:r>
      <w:r w:rsidRPr="00054EDF">
        <w:rPr>
          <w:szCs w:val="16"/>
        </w:rPr>
        <w:t>,</w:t>
      </w:r>
      <w:r w:rsidR="002B3C4F" w:rsidRPr="00054EDF">
        <w:rPr>
          <w:szCs w:val="16"/>
        </w:rPr>
        <w:t>28</w:t>
      </w:r>
      <w:r w:rsidRPr="00054EDF">
        <w:rPr>
          <w:szCs w:val="16"/>
        </w:rPr>
        <w:t xml:space="preserve">% tại nguồn thải đến 74,8% tại bãi chôn lấp thành phố. Sau cùng, kết luận của nghiên cứu là cần thiết đề xuất </w:t>
      </w:r>
      <w:r w:rsidR="0053323C" w:rsidRPr="00054EDF">
        <w:rPr>
          <w:szCs w:val="16"/>
        </w:rPr>
        <w:t>định hướng</w:t>
      </w:r>
      <w:r w:rsidRPr="00054EDF">
        <w:rPr>
          <w:szCs w:val="16"/>
        </w:rPr>
        <w:t xml:space="preserve"> cho quản lý chất thải rắn của thành phố dựa trên việc </w:t>
      </w:r>
      <w:r w:rsidR="008540C0" w:rsidRPr="00054EDF">
        <w:rPr>
          <w:szCs w:val="16"/>
        </w:rPr>
        <w:t>Q</w:t>
      </w:r>
      <w:r w:rsidRPr="00054EDF">
        <w:rPr>
          <w:szCs w:val="16"/>
        </w:rPr>
        <w:t xml:space="preserve">uản lý tổng hợp chất thải rắn và </w:t>
      </w:r>
      <w:r w:rsidR="00A701C5" w:rsidRPr="00054EDF">
        <w:rPr>
          <w:szCs w:val="16"/>
        </w:rPr>
        <w:t>Xã hội tuần hoàn tài nguyên</w:t>
      </w:r>
      <w:r w:rsidRPr="00054EDF">
        <w:rPr>
          <w:szCs w:val="16"/>
        </w:rPr>
        <w:t>.</w:t>
      </w:r>
    </w:p>
    <w:p w14:paraId="000485DD" w14:textId="74A97D1D" w:rsidR="00704FAE" w:rsidRPr="00054EDF" w:rsidRDefault="00704FAE" w:rsidP="00704FAE">
      <w:pPr>
        <w:pStyle w:val="05Tmtt-Abstract"/>
        <w:rPr>
          <w:szCs w:val="16"/>
        </w:rPr>
      </w:pPr>
      <w:r w:rsidRPr="00054EDF">
        <w:rPr>
          <w:b/>
          <w:szCs w:val="16"/>
        </w:rPr>
        <w:t>Từ khóa –</w:t>
      </w:r>
      <w:r w:rsidRPr="00054EDF">
        <w:rPr>
          <w:szCs w:val="16"/>
        </w:rPr>
        <w:t xml:space="preserve"> chất thải rắn sinh hoạt, tái chế, Buôn Ma Thuột, quản lý tổng hợp chất thải rắn, </w:t>
      </w:r>
      <w:r w:rsidR="00A701C5" w:rsidRPr="00054EDF">
        <w:rPr>
          <w:szCs w:val="16"/>
        </w:rPr>
        <w:t>xã hội tuần hoàn tài nguyên</w:t>
      </w:r>
      <w:r w:rsidRPr="00054EDF">
        <w:rPr>
          <w:szCs w:val="16"/>
        </w:rPr>
        <w:t>.</w:t>
      </w:r>
    </w:p>
    <w:p w14:paraId="48901C8B" w14:textId="4271AED7" w:rsidR="00704FAE" w:rsidRPr="00054EDF" w:rsidRDefault="00704FAE" w:rsidP="00704FAE">
      <w:pPr>
        <w:pStyle w:val="05Tmtt-Abstract"/>
        <w:rPr>
          <w:szCs w:val="16"/>
        </w:rPr>
      </w:pPr>
      <w:r w:rsidRPr="00054EDF">
        <w:rPr>
          <w:szCs w:val="16"/>
        </w:rPr>
        <w:br w:type="column"/>
      </w:r>
      <w:r w:rsidRPr="004027C8">
        <w:rPr>
          <w:b/>
          <w:szCs w:val="16"/>
          <w:highlight w:val="yellow"/>
        </w:rPr>
        <w:lastRenderedPageBreak/>
        <w:t>Abstract –</w:t>
      </w:r>
      <w:r w:rsidR="00046239" w:rsidRPr="004027C8">
        <w:rPr>
          <w:szCs w:val="16"/>
          <w:highlight w:val="yellow"/>
        </w:rPr>
        <w:t xml:space="preserve"> </w:t>
      </w:r>
      <w:r w:rsidRPr="004027C8">
        <w:rPr>
          <w:szCs w:val="16"/>
          <w:highlight w:val="yellow"/>
        </w:rPr>
        <w:t xml:space="preserve">This study aims to </w:t>
      </w:r>
      <w:r w:rsidR="007A74D5" w:rsidRPr="004027C8">
        <w:rPr>
          <w:szCs w:val="16"/>
          <w:highlight w:val="yellow"/>
        </w:rPr>
        <w:t>quantify and categorize</w:t>
      </w:r>
      <w:r w:rsidRPr="004027C8">
        <w:rPr>
          <w:szCs w:val="16"/>
          <w:highlight w:val="yellow"/>
        </w:rPr>
        <w:t xml:space="preserve"> </w:t>
      </w:r>
      <w:r w:rsidR="007A74D5" w:rsidRPr="004027C8">
        <w:rPr>
          <w:szCs w:val="16"/>
          <w:highlight w:val="yellow"/>
        </w:rPr>
        <w:t xml:space="preserve">household </w:t>
      </w:r>
      <w:r w:rsidRPr="004027C8">
        <w:rPr>
          <w:szCs w:val="16"/>
          <w:highlight w:val="yellow"/>
        </w:rPr>
        <w:t>solid waste</w:t>
      </w:r>
      <w:r w:rsidR="007A74D5" w:rsidRPr="004027C8">
        <w:rPr>
          <w:szCs w:val="16"/>
          <w:highlight w:val="yellow"/>
        </w:rPr>
        <w:t xml:space="preserve"> of Buon Ma Thuot City</w:t>
      </w:r>
      <w:r w:rsidRPr="004027C8">
        <w:rPr>
          <w:szCs w:val="16"/>
          <w:highlight w:val="yellow"/>
        </w:rPr>
        <w:t xml:space="preserve">. Throught the empirical study, solid waste from 205 households was weighed daily. The total solid waste </w:t>
      </w:r>
      <w:r w:rsidR="007A74D5" w:rsidRPr="004027C8">
        <w:rPr>
          <w:szCs w:val="16"/>
          <w:highlight w:val="yellow"/>
        </w:rPr>
        <w:t>issued</w:t>
      </w:r>
      <w:r w:rsidRPr="004027C8">
        <w:rPr>
          <w:szCs w:val="16"/>
          <w:highlight w:val="yellow"/>
        </w:rPr>
        <w:t xml:space="preserve"> each household was collected seven (7) days a week</w:t>
      </w:r>
      <w:r w:rsidR="00A833BD" w:rsidRPr="004027C8">
        <w:rPr>
          <w:szCs w:val="16"/>
          <w:highlight w:val="yellow"/>
        </w:rPr>
        <w:t>. Such</w:t>
      </w:r>
      <w:r w:rsidR="007A74D5" w:rsidRPr="004027C8">
        <w:rPr>
          <w:szCs w:val="16"/>
          <w:highlight w:val="yellow"/>
        </w:rPr>
        <w:t xml:space="preserve"> collection was </w:t>
      </w:r>
      <w:r w:rsidR="00A833BD" w:rsidRPr="004027C8">
        <w:rPr>
          <w:szCs w:val="16"/>
          <w:highlight w:val="yellow"/>
        </w:rPr>
        <w:t>carried out two times</w:t>
      </w:r>
      <w:r w:rsidRPr="004027C8">
        <w:rPr>
          <w:szCs w:val="16"/>
          <w:highlight w:val="yellow"/>
        </w:rPr>
        <w:t xml:space="preserve">. </w:t>
      </w:r>
      <w:r w:rsidR="00A833BD" w:rsidRPr="004027C8">
        <w:rPr>
          <w:szCs w:val="16"/>
          <w:highlight w:val="yellow"/>
        </w:rPr>
        <w:t xml:space="preserve">Materials of </w:t>
      </w:r>
      <w:r w:rsidRPr="004027C8">
        <w:rPr>
          <w:szCs w:val="16"/>
          <w:highlight w:val="yellow"/>
        </w:rPr>
        <w:t xml:space="preserve">99 samples </w:t>
      </w:r>
      <w:r w:rsidR="00A833BD" w:rsidRPr="004027C8">
        <w:rPr>
          <w:szCs w:val="16"/>
          <w:highlight w:val="yellow"/>
        </w:rPr>
        <w:t>were</w:t>
      </w:r>
      <w:r w:rsidRPr="004027C8">
        <w:rPr>
          <w:szCs w:val="16"/>
          <w:highlight w:val="yellow"/>
        </w:rPr>
        <w:t xml:space="preserve"> </w:t>
      </w:r>
      <w:r w:rsidR="00A833BD" w:rsidRPr="004027C8">
        <w:rPr>
          <w:szCs w:val="16"/>
          <w:highlight w:val="yellow"/>
        </w:rPr>
        <w:t>categorized</w:t>
      </w:r>
      <w:r w:rsidRPr="004027C8">
        <w:rPr>
          <w:szCs w:val="16"/>
          <w:highlight w:val="yellow"/>
        </w:rPr>
        <w:t xml:space="preserve">. Results of study show that the average daily waste generated is 0.47 </w:t>
      </w:r>
      <w:r w:rsidR="008F366F" w:rsidRPr="004027C8">
        <w:rPr>
          <w:szCs w:val="16"/>
          <w:highlight w:val="yellow"/>
        </w:rPr>
        <w:sym w:font="Symbol" w:char="F0B1"/>
      </w:r>
      <w:r w:rsidR="00F641A2" w:rsidRPr="004027C8">
        <w:rPr>
          <w:szCs w:val="16"/>
          <w:highlight w:val="yellow"/>
        </w:rPr>
        <w:t xml:space="preserve"> 0.03</w:t>
      </w:r>
      <w:r w:rsidR="008F366F" w:rsidRPr="004027C8">
        <w:rPr>
          <w:szCs w:val="16"/>
          <w:highlight w:val="yellow"/>
        </w:rPr>
        <w:t xml:space="preserve"> </w:t>
      </w:r>
      <w:r w:rsidRPr="004027C8">
        <w:rPr>
          <w:szCs w:val="16"/>
          <w:highlight w:val="yellow"/>
        </w:rPr>
        <w:t>kg·day</w:t>
      </w:r>
      <w:r w:rsidRPr="004027C8">
        <w:rPr>
          <w:szCs w:val="16"/>
          <w:highlight w:val="yellow"/>
          <w:vertAlign w:val="superscript"/>
        </w:rPr>
        <w:t>–1</w:t>
      </w:r>
      <w:r w:rsidRPr="004027C8">
        <w:rPr>
          <w:szCs w:val="16"/>
          <w:highlight w:val="yellow"/>
        </w:rPr>
        <w:t>·person</w:t>
      </w:r>
      <w:r w:rsidRPr="004027C8">
        <w:rPr>
          <w:szCs w:val="16"/>
          <w:highlight w:val="yellow"/>
          <w:vertAlign w:val="superscript"/>
        </w:rPr>
        <w:t>–1</w:t>
      </w:r>
      <w:r w:rsidRPr="004027C8">
        <w:rPr>
          <w:szCs w:val="16"/>
          <w:highlight w:val="yellow"/>
        </w:rPr>
        <w:t xml:space="preserve">. According to the data, organic waste </w:t>
      </w:r>
      <w:r w:rsidR="00A833BD" w:rsidRPr="004027C8">
        <w:rPr>
          <w:szCs w:val="16"/>
          <w:highlight w:val="yellow"/>
        </w:rPr>
        <w:t>i</w:t>
      </w:r>
      <w:r w:rsidRPr="004027C8">
        <w:rPr>
          <w:szCs w:val="16"/>
          <w:highlight w:val="yellow"/>
        </w:rPr>
        <w:t>s largest portion of household solid waste with 5</w:t>
      </w:r>
      <w:r w:rsidR="002B3C4F" w:rsidRPr="004027C8">
        <w:rPr>
          <w:szCs w:val="16"/>
          <w:highlight w:val="yellow"/>
        </w:rPr>
        <w:t>6</w:t>
      </w:r>
      <w:r w:rsidRPr="004027C8">
        <w:rPr>
          <w:szCs w:val="16"/>
          <w:highlight w:val="yellow"/>
        </w:rPr>
        <w:t>.</w:t>
      </w:r>
      <w:r w:rsidR="002B3C4F" w:rsidRPr="004027C8">
        <w:rPr>
          <w:szCs w:val="16"/>
          <w:highlight w:val="yellow"/>
        </w:rPr>
        <w:t>28</w:t>
      </w:r>
      <w:r w:rsidRPr="004027C8">
        <w:rPr>
          <w:szCs w:val="16"/>
          <w:highlight w:val="yellow"/>
        </w:rPr>
        <w:t xml:space="preserve">% at </w:t>
      </w:r>
      <w:r w:rsidR="00A833BD" w:rsidRPr="004027C8">
        <w:rPr>
          <w:szCs w:val="16"/>
          <w:highlight w:val="yellow"/>
        </w:rPr>
        <w:t>source compared</w:t>
      </w:r>
      <w:r w:rsidRPr="004027C8">
        <w:rPr>
          <w:szCs w:val="16"/>
          <w:highlight w:val="yellow"/>
        </w:rPr>
        <w:t xml:space="preserve"> to 74</w:t>
      </w:r>
      <w:r w:rsidR="00A13C09" w:rsidRPr="004027C8">
        <w:rPr>
          <w:szCs w:val="16"/>
          <w:highlight w:val="yellow"/>
        </w:rPr>
        <w:t>.</w:t>
      </w:r>
      <w:r w:rsidRPr="004027C8">
        <w:rPr>
          <w:szCs w:val="16"/>
          <w:highlight w:val="yellow"/>
        </w:rPr>
        <w:t xml:space="preserve">8% at landfill. </w:t>
      </w:r>
      <w:r w:rsidR="00A833BD" w:rsidRPr="004027C8">
        <w:rPr>
          <w:szCs w:val="16"/>
          <w:highlight w:val="yellow"/>
        </w:rPr>
        <w:t>A</w:t>
      </w:r>
      <w:r w:rsidRPr="004027C8">
        <w:rPr>
          <w:szCs w:val="16"/>
          <w:highlight w:val="yellow"/>
        </w:rPr>
        <w:t xml:space="preserve"> solid waste management in Buonmathuot city based on integrated solid waste management and </w:t>
      </w:r>
      <w:r w:rsidR="00A43205" w:rsidRPr="004027C8">
        <w:rPr>
          <w:szCs w:val="16"/>
          <w:highlight w:val="yellow"/>
        </w:rPr>
        <w:t>resouces</w:t>
      </w:r>
      <w:r w:rsidR="006003AC" w:rsidRPr="004027C8">
        <w:rPr>
          <w:szCs w:val="16"/>
          <w:highlight w:val="yellow"/>
        </w:rPr>
        <w:t xml:space="preserve"> </w:t>
      </w:r>
      <w:r w:rsidR="00A43205" w:rsidRPr="004027C8">
        <w:rPr>
          <w:szCs w:val="16"/>
          <w:highlight w:val="yellow"/>
        </w:rPr>
        <w:t>-</w:t>
      </w:r>
      <w:r w:rsidR="006003AC" w:rsidRPr="004027C8">
        <w:rPr>
          <w:szCs w:val="16"/>
          <w:highlight w:val="yellow"/>
        </w:rPr>
        <w:t xml:space="preserve"> </w:t>
      </w:r>
      <w:r w:rsidR="00A43205" w:rsidRPr="004027C8">
        <w:rPr>
          <w:szCs w:val="16"/>
          <w:highlight w:val="yellow"/>
        </w:rPr>
        <w:t>circulating society</w:t>
      </w:r>
      <w:r w:rsidR="00A833BD" w:rsidRPr="004027C8">
        <w:rPr>
          <w:szCs w:val="16"/>
          <w:highlight w:val="yellow"/>
        </w:rPr>
        <w:t xml:space="preserve"> is necessary</w:t>
      </w:r>
      <w:r w:rsidRPr="004027C8">
        <w:rPr>
          <w:szCs w:val="16"/>
          <w:highlight w:val="yellow"/>
        </w:rPr>
        <w:t>.</w:t>
      </w:r>
    </w:p>
    <w:p w14:paraId="5BA3CF3F" w14:textId="7EDC7DA6" w:rsidR="00704FAE" w:rsidRPr="00054EDF" w:rsidRDefault="00704FAE" w:rsidP="00704FAE">
      <w:pPr>
        <w:pStyle w:val="05Tmtt-Abstract"/>
        <w:rPr>
          <w:szCs w:val="16"/>
        </w:rPr>
      </w:pPr>
      <w:r w:rsidRPr="00054EDF">
        <w:rPr>
          <w:b/>
          <w:szCs w:val="16"/>
        </w:rPr>
        <w:t>Key words –</w:t>
      </w:r>
      <w:r w:rsidRPr="00054EDF">
        <w:rPr>
          <w:szCs w:val="16"/>
        </w:rPr>
        <w:t xml:space="preserve"> household solid waste, recycling, Buonmathuot, </w:t>
      </w:r>
      <w:r w:rsidR="00655297" w:rsidRPr="00054EDF">
        <w:rPr>
          <w:szCs w:val="16"/>
        </w:rPr>
        <w:t>i</w:t>
      </w:r>
      <w:r w:rsidRPr="00054EDF">
        <w:rPr>
          <w:szCs w:val="16"/>
        </w:rPr>
        <w:t xml:space="preserve">ntegrated solid waste management, </w:t>
      </w:r>
      <w:r w:rsidR="00A43205" w:rsidRPr="00054EDF">
        <w:rPr>
          <w:szCs w:val="16"/>
        </w:rPr>
        <w:t>resouces-circulating society</w:t>
      </w:r>
      <w:r w:rsidRPr="00054EDF">
        <w:rPr>
          <w:szCs w:val="16"/>
        </w:rPr>
        <w:t>.</w:t>
      </w:r>
    </w:p>
    <w:p w14:paraId="365287EB" w14:textId="77777777" w:rsidR="008151C0" w:rsidRPr="003E7C23" w:rsidRDefault="008151C0" w:rsidP="005C0C0A">
      <w:pPr>
        <w:ind w:firstLine="0"/>
        <w:rPr>
          <w:sz w:val="16"/>
          <w:szCs w:val="16"/>
          <w:lang w:val="x-none" w:eastAsia="x-none"/>
        </w:rPr>
        <w:sectPr w:rsidR="008151C0" w:rsidRPr="003E7C23" w:rsidSect="00E40F9E">
          <w:headerReference w:type="even" r:id="rId12"/>
          <w:headerReference w:type="default" r:id="rId13"/>
          <w:footerReference w:type="even" r:id="rId14"/>
          <w:type w:val="continuous"/>
          <w:pgSz w:w="10773" w:h="15026" w:code="9"/>
          <w:pgMar w:top="567" w:right="567" w:bottom="567" w:left="567" w:header="284" w:footer="284" w:gutter="0"/>
          <w:cols w:num="2" w:space="284"/>
          <w:docGrid w:linePitch="360"/>
        </w:sectPr>
      </w:pPr>
    </w:p>
    <w:p w14:paraId="6899D70A" w14:textId="77777777" w:rsidR="00762843" w:rsidRDefault="00762843" w:rsidP="005C0C0A">
      <w:pPr>
        <w:spacing w:after="0"/>
        <w:ind w:firstLine="0"/>
        <w:sectPr w:rsidR="00762843" w:rsidSect="00E40F9E">
          <w:type w:val="continuous"/>
          <w:pgSz w:w="10773" w:h="15026" w:code="9"/>
          <w:pgMar w:top="567" w:right="567" w:bottom="567" w:left="567" w:header="284" w:footer="284" w:gutter="0"/>
          <w:cols w:space="720"/>
          <w:docGrid w:linePitch="360"/>
        </w:sectPr>
      </w:pPr>
    </w:p>
    <w:p w14:paraId="70DB9BCE" w14:textId="77777777" w:rsidR="00494919" w:rsidRDefault="00470F1D" w:rsidP="005F40E9">
      <w:pPr>
        <w:pStyle w:val="Heading1"/>
      </w:pPr>
      <w:r w:rsidRPr="0065618C">
        <w:lastRenderedPageBreak/>
        <w:t>Đặt vấn đề</w:t>
      </w:r>
    </w:p>
    <w:p w14:paraId="60CE7D8D" w14:textId="3BC0D0E7" w:rsidR="00285F23" w:rsidRDefault="006506A0" w:rsidP="00664F78">
      <w:r>
        <w:t>Ngày nay, quản lý chất thải rắn</w:t>
      </w:r>
      <w:r w:rsidR="00C91CCE">
        <w:t xml:space="preserve"> (CTR)</w:t>
      </w:r>
      <w:r>
        <w:t xml:space="preserve"> là một trong những </w:t>
      </w:r>
      <w:r w:rsidR="00C91CCE">
        <w:t xml:space="preserve">vấn đề quan trọng của xã hội, đặc biệt tại các đô thị. </w:t>
      </w:r>
      <w:r w:rsidR="00BF6AFD" w:rsidRPr="002A5FC5">
        <w:rPr>
          <w:szCs w:val="20"/>
        </w:rPr>
        <w:t>Xác định khối lượng và các đặc tính của chất thải rắn là yếu tố quan trọng nhất trong việc hoạch định thành công hệ thống quản lý chất thải rắn hướng đến xã hội tuần hoàn tài nguyên.</w:t>
      </w:r>
      <w:r w:rsidR="00BF6AFD">
        <w:rPr>
          <w:szCs w:val="20"/>
        </w:rPr>
        <w:t xml:space="preserve"> </w:t>
      </w:r>
      <w:r w:rsidR="00C91CCE">
        <w:t xml:space="preserve">Theo Bộ Tài </w:t>
      </w:r>
      <w:r w:rsidR="00BF7245">
        <w:t>n</w:t>
      </w:r>
      <w:r w:rsidR="00C91CCE">
        <w:t>guyên</w:t>
      </w:r>
      <w:r w:rsidR="00BF7245">
        <w:t xml:space="preserve"> và</w:t>
      </w:r>
      <w:r w:rsidR="00C91CCE">
        <w:t xml:space="preserve"> Môi trường (2012), trên phạm vi toàn quốc, CTR phát sinh ngày càng tăng cả về số lượng và mức độ độc hại, với tốc độ gia tăng trên 10% mỗi năm. Phân loại CTR tại nguồn mới thực hiện thí điểm tại một số thành phố lớn, đa số CTR được thu gom lẫn lộn và thải bỏ ở bãi chôn lấp. Tỷ lệ thu gom CTR đô thị hiện nay </w:t>
      </w:r>
      <w:r w:rsidR="000E4D01">
        <w:t>khoảng 83-85%, trong đó chỉ khoảng 60% CTR được xử lý bằng phương pháp chôn lấp hợp vệ sinh và xử lý CTR tạo phân compost, tái chế nhựa…</w:t>
      </w:r>
      <w:r w:rsidR="00764AD3">
        <w:t xml:space="preserve"> [1]</w:t>
      </w:r>
      <w:r w:rsidR="007B39C7">
        <w:t>.</w:t>
      </w:r>
    </w:p>
    <w:p w14:paraId="51FD952C" w14:textId="2955690F" w:rsidR="000E4D01" w:rsidRDefault="0085274E" w:rsidP="00664F78">
      <w:r>
        <w:t xml:space="preserve"> Như </w:t>
      </w:r>
      <w:r w:rsidR="00E113A9">
        <w:t>một số</w:t>
      </w:r>
      <w:r>
        <w:t xml:space="preserve"> địa phương khác trong cả nước, Tây Nguyên là khu vực đang có tốc độ đô thị hoá và gia tăng dân số khá nhanh trong thời gian gần đây</w:t>
      </w:r>
      <w:r w:rsidR="002F092B">
        <w:t>, đặc biệt tại các đô thị trung tâm vùng như thành phố Buôn Ma Thuột (TPBMT)</w:t>
      </w:r>
      <w:r>
        <w:t>.</w:t>
      </w:r>
      <w:r w:rsidR="00C87954">
        <w:t xml:space="preserve"> Cùng với quá trình phát triển kinh tế xã hội là sự phát sinh chất thải rắn ngày càng tăng về số lượng và phức tạp thành phần. Để xây dựng hệ thống quản lý CTR hiệu quả, phù hợp với định hướng của </w:t>
      </w:r>
      <w:r w:rsidR="002F092B">
        <w:t xml:space="preserve">Quyết định 2149/QĐ-TTg </w:t>
      </w:r>
      <w:r w:rsidR="00C87954">
        <w:rPr>
          <w:i/>
        </w:rPr>
        <w:t>“Chiến lược quốc gia về quản lý tổng hợp chất thải rắn đến năm 2025, tầm nhìn đến năm 2050</w:t>
      </w:r>
      <w:r w:rsidR="002F092B">
        <w:rPr>
          <w:i/>
        </w:rPr>
        <w:t>”,</w:t>
      </w:r>
      <w:r w:rsidR="002F092B">
        <w:t xml:space="preserve"> thành phố cần tập trung vào việc giảm thiểu lượng CTR </w:t>
      </w:r>
      <w:r w:rsidR="002F092B">
        <w:lastRenderedPageBreak/>
        <w:t>chôn lấp, tăng tối đa khả năng phân loại, tái sử dung, tái chế, tuần hoàn năng lượng các vật liệu trong dòng thải</w:t>
      </w:r>
      <w:r w:rsidR="00E94A8C">
        <w:t xml:space="preserve"> [2]</w:t>
      </w:r>
      <w:r w:rsidR="002F092B">
        <w:t xml:space="preserve">. Từ nhu cầu cấp thiết đó, nghiên cứu này được thực hiện nhằm xác định các số liệu thực nghiệm </w:t>
      </w:r>
      <w:r w:rsidR="00B00AA1">
        <w:t xml:space="preserve">về </w:t>
      </w:r>
      <w:r w:rsidR="0025214C">
        <w:t>khối lượng phát sinh, thành phần và tỷ lệ vật liệu tái chế trong CTR sinh hoạt tại TPBMT làm nền tảng đề xuất các biện pháp góp phần quản lý CTR bền vững cho thành phố.</w:t>
      </w:r>
    </w:p>
    <w:p w14:paraId="2505A409" w14:textId="0804D8EA" w:rsidR="00C6747C" w:rsidRPr="00A27DDB" w:rsidRDefault="00A27DDB" w:rsidP="00A27DDB">
      <w:pPr>
        <w:pStyle w:val="Heading1"/>
      </w:pPr>
      <w:r>
        <w:t xml:space="preserve">Nội dung và phương pháp nghiên cứu </w:t>
      </w:r>
    </w:p>
    <w:p w14:paraId="6472C2D6" w14:textId="77777777" w:rsidR="00C6747C" w:rsidRPr="00C128D0" w:rsidRDefault="00C6747C" w:rsidP="00C6747C">
      <w:pPr>
        <w:pStyle w:val="Heading2"/>
      </w:pPr>
      <w:r w:rsidRPr="00C128D0">
        <w:t xml:space="preserve">Nội dung nghiên cứu </w:t>
      </w:r>
    </w:p>
    <w:p w14:paraId="1F1F01FF" w14:textId="01AEED69" w:rsidR="00AB74D0" w:rsidRDefault="00123042" w:rsidP="00D41F61">
      <w:pPr>
        <w:widowControl/>
        <w:spacing w:before="0" w:after="0"/>
      </w:pPr>
      <w:r>
        <w:t>- Khảo sát quy trình</w:t>
      </w:r>
      <w:r w:rsidR="00AB74D0">
        <w:t xml:space="preserve"> thu gom, xử lý CTR sinh hoạt của TPBMT.</w:t>
      </w:r>
    </w:p>
    <w:p w14:paraId="1813E707" w14:textId="170A98A1" w:rsidR="00A27DDB" w:rsidRDefault="00D41F61" w:rsidP="00D41F61">
      <w:pPr>
        <w:widowControl/>
        <w:spacing w:before="0" w:after="0"/>
      </w:pPr>
      <w:r>
        <w:t>- Thực nghiệm xác định hệ số phát thải CTR sinh hoạt tại nguồn trên địa bàn TPBMT.</w:t>
      </w:r>
    </w:p>
    <w:p w14:paraId="67D52C99" w14:textId="30985BFE" w:rsidR="00C6747C" w:rsidRDefault="00D41F61" w:rsidP="00876F10">
      <w:pPr>
        <w:widowControl/>
        <w:spacing w:before="0" w:after="0"/>
      </w:pPr>
      <w:r>
        <w:t xml:space="preserve">- Lấy mẫu và phân tích thành phần </w:t>
      </w:r>
      <w:r w:rsidR="00690851">
        <w:t xml:space="preserve">và các vật liệu tái chế trong CTR sinh hoạt </w:t>
      </w:r>
      <w:r>
        <w:t>tại khu vực nghiên cứu</w:t>
      </w:r>
      <w:r w:rsidR="00C6747C">
        <w:t>.</w:t>
      </w:r>
      <w:r w:rsidR="00C6747C" w:rsidRPr="00C128D0">
        <w:t xml:space="preserve"> </w:t>
      </w:r>
    </w:p>
    <w:p w14:paraId="4D0904C5" w14:textId="4FDCC71D" w:rsidR="00690851" w:rsidRPr="00C128D0" w:rsidRDefault="00690851" w:rsidP="00876F10">
      <w:pPr>
        <w:widowControl/>
        <w:spacing w:before="0" w:after="0"/>
      </w:pPr>
      <w:r>
        <w:t xml:space="preserve">- Đề xuất định hướng </w:t>
      </w:r>
      <w:r w:rsidR="009D5151">
        <w:t>quản lý CTR phù hợp cho TPBMT.</w:t>
      </w:r>
    </w:p>
    <w:p w14:paraId="781CD421" w14:textId="77777777" w:rsidR="00C6747C" w:rsidRPr="00C6747C" w:rsidRDefault="00C6747C" w:rsidP="00C6747C">
      <w:pPr>
        <w:pStyle w:val="Heading2"/>
      </w:pPr>
      <w:r w:rsidRPr="00C6747C">
        <w:t xml:space="preserve">Phương pháp nghiên cứu </w:t>
      </w:r>
    </w:p>
    <w:p w14:paraId="0502DB12" w14:textId="33A123BC" w:rsidR="00C6747C" w:rsidRPr="00C6747C" w:rsidRDefault="00C6747C" w:rsidP="00C6747C">
      <w:pPr>
        <w:pStyle w:val="Heading3"/>
        <w:rPr>
          <w:i w:val="0"/>
        </w:rPr>
      </w:pPr>
      <w:r w:rsidRPr="00E2094F">
        <w:t>Phươn</w:t>
      </w:r>
      <w:r w:rsidR="00AB6C9E">
        <w:t>g pháp kế thừa tài liệu thứ cấp</w:t>
      </w:r>
      <w:r w:rsidRPr="00E2094F">
        <w:t xml:space="preserve"> </w:t>
      </w:r>
    </w:p>
    <w:p w14:paraId="599AF65D" w14:textId="11F73124" w:rsidR="00C6747C" w:rsidRPr="00C6747C" w:rsidRDefault="00C6747C" w:rsidP="00C6747C">
      <w:pPr>
        <w:pStyle w:val="Heading3"/>
        <w:numPr>
          <w:ilvl w:val="0"/>
          <w:numId w:val="0"/>
        </w:numPr>
        <w:ind w:firstLine="284"/>
        <w:rPr>
          <w:i w:val="0"/>
        </w:rPr>
      </w:pPr>
      <w:r w:rsidRPr="00C6747C">
        <w:rPr>
          <w:i w:val="0"/>
        </w:rPr>
        <w:t xml:space="preserve">Thu thập, kế thừa và tổng hợp các tài liệu liên quan đến </w:t>
      </w:r>
      <w:r w:rsidR="00E3069F">
        <w:rPr>
          <w:i w:val="0"/>
        </w:rPr>
        <w:t>quản lý CTR từ các báo cáo, đề tài khoa học, các dự án đã triển khai tại Tây Nguyên, các dữ liệu từ Niên giám thống kê..</w:t>
      </w:r>
      <w:r w:rsidRPr="00C6747C">
        <w:rPr>
          <w:i w:val="0"/>
        </w:rPr>
        <w:t>.</w:t>
      </w:r>
    </w:p>
    <w:p w14:paraId="0242CF5A" w14:textId="77777777" w:rsidR="003664E8" w:rsidRPr="003664E8" w:rsidRDefault="003664E8" w:rsidP="00C6747C">
      <w:pPr>
        <w:pStyle w:val="Heading3"/>
      </w:pPr>
      <w:r w:rsidRPr="003664E8">
        <w:t>Phương pháp điều tra khảo sát</w:t>
      </w:r>
    </w:p>
    <w:p w14:paraId="2380B890" w14:textId="6428D37B" w:rsidR="00B106DE" w:rsidRPr="00523452" w:rsidRDefault="003664E8" w:rsidP="00523452">
      <w:pPr>
        <w:pStyle w:val="Heading3"/>
        <w:numPr>
          <w:ilvl w:val="0"/>
          <w:numId w:val="0"/>
        </w:numPr>
        <w:ind w:firstLine="284"/>
        <w:rPr>
          <w:b/>
        </w:rPr>
      </w:pPr>
      <w:r>
        <w:rPr>
          <w:i w:val="0"/>
        </w:rPr>
        <w:t xml:space="preserve">Tiến hành điều tra, khảo sát quy trình thu gom, </w:t>
      </w:r>
      <w:r w:rsidR="0001456B">
        <w:rPr>
          <w:i w:val="0"/>
        </w:rPr>
        <w:t>tạm trữ</w:t>
      </w:r>
      <w:r>
        <w:rPr>
          <w:i w:val="0"/>
        </w:rPr>
        <w:t xml:space="preserve">, </w:t>
      </w:r>
      <w:r>
        <w:rPr>
          <w:i w:val="0"/>
        </w:rPr>
        <w:lastRenderedPageBreak/>
        <w:t xml:space="preserve">vận chuyển và xử lý CTR sinh hoạt trên địa bàn thành phố làm cơ sở thiết kế chương trình thực nghiệm cân CTR tại nguồn và lấy mẫu phân loại thành phần. </w:t>
      </w:r>
      <w:r w:rsidR="00C6747C" w:rsidRPr="00C6747C">
        <w:rPr>
          <w:b/>
        </w:rPr>
        <w:tab/>
      </w:r>
    </w:p>
    <w:p w14:paraId="28EA29CD" w14:textId="1E4D35D0" w:rsidR="00C6747C" w:rsidRDefault="00C6747C" w:rsidP="00C6747C">
      <w:pPr>
        <w:pStyle w:val="Heading3"/>
      </w:pPr>
      <w:r w:rsidRPr="00C6747C">
        <w:t xml:space="preserve">Phương pháp </w:t>
      </w:r>
      <w:r w:rsidR="00FC6B7B">
        <w:t xml:space="preserve">thực nghiệm </w:t>
      </w:r>
      <w:r w:rsidR="00486CBF">
        <w:t>xác định hệ số phát thải CTR sinh hoạt tại nguồn</w:t>
      </w:r>
    </w:p>
    <w:p w14:paraId="6D234696" w14:textId="3E56D7FF" w:rsidR="00AA6329" w:rsidRDefault="00AA6329" w:rsidP="005B5EAB">
      <w:r>
        <w:t xml:space="preserve">- Chọn ngẫu nhiên 208 hộ gia đình (161 </w:t>
      </w:r>
      <w:r w:rsidR="00F9512A">
        <w:t xml:space="preserve">hộ </w:t>
      </w:r>
      <w:r>
        <w:t xml:space="preserve">ở </w:t>
      </w:r>
      <w:r w:rsidR="006771CF">
        <w:t>10</w:t>
      </w:r>
      <w:r w:rsidR="00F9512A">
        <w:t xml:space="preserve"> phư</w:t>
      </w:r>
      <w:r w:rsidR="006771CF">
        <w:t>ờ</w:t>
      </w:r>
      <w:r w:rsidR="00F9512A">
        <w:t xml:space="preserve">ng </w:t>
      </w:r>
      <w:r>
        <w:t xml:space="preserve">nội thành và 47 </w:t>
      </w:r>
      <w:r w:rsidR="00F9512A">
        <w:t>hộ ở 0</w:t>
      </w:r>
      <w:r w:rsidR="006771CF">
        <w:t>5</w:t>
      </w:r>
      <w:r w:rsidR="00F9512A">
        <w:t xml:space="preserve"> xã</w:t>
      </w:r>
      <w:r>
        <w:t xml:space="preserve"> ngoại thành) </w:t>
      </w:r>
      <w:r w:rsidR="00962174">
        <w:t>để cân CTR sinh hoạt. Tiến hành thu mẫu hàng ngày vào một thời điểm cố định để cân mẫu. Thực hiện cân mẫu 07 ngày liên tục và lặp lại hai lần.</w:t>
      </w:r>
      <w:r w:rsidR="007B548B">
        <w:t xml:space="preserve"> Khối lượng trung bình c</w:t>
      </w:r>
      <w:r w:rsidR="00D023C6">
        <w:t>ủa</w:t>
      </w:r>
      <w:r w:rsidR="007B548B">
        <w:t xml:space="preserve"> 14 mẫu/nhân khẩu sẽ được sử dụng tính toán hệ số phát thải CTR sinh hoạt của nghiên cứu.</w:t>
      </w:r>
    </w:p>
    <w:p w14:paraId="3055E8B0" w14:textId="3CC295F2" w:rsidR="00AA6329" w:rsidRPr="00AA6329" w:rsidRDefault="00F9512A" w:rsidP="003F34D0">
      <w:r>
        <w:t xml:space="preserve">- </w:t>
      </w:r>
      <w:r w:rsidR="006771CF">
        <w:t>Địa điểm chọn mẫu: Phường: EaTam, Khánh Xuân</w:t>
      </w:r>
      <w:r w:rsidR="003625E9">
        <w:t>,</w:t>
      </w:r>
      <w:r w:rsidR="006771CF">
        <w:t xml:space="preserve"> Tân An, Tân Lập</w:t>
      </w:r>
      <w:r w:rsidR="003625E9">
        <w:t>,</w:t>
      </w:r>
      <w:r w:rsidR="006771CF">
        <w:t xml:space="preserve"> Tân Lợi, Tân Thành</w:t>
      </w:r>
      <w:r w:rsidR="003625E9">
        <w:t>,</w:t>
      </w:r>
      <w:r w:rsidR="006771CF">
        <w:t xml:space="preserve"> Thắng Lợi, Thành Công, Thống Nhất và </w:t>
      </w:r>
      <w:r w:rsidR="00D440FE">
        <w:t xml:space="preserve">phường </w:t>
      </w:r>
      <w:r w:rsidR="006771CF">
        <w:t xml:space="preserve">Tự An; Xã: Ea Kao, Hoà Khánh, Hoà Phú, Hoà Thắng và </w:t>
      </w:r>
      <w:r w:rsidR="00D440FE">
        <w:t xml:space="preserve">xã </w:t>
      </w:r>
      <w:r w:rsidR="006771CF">
        <w:t>Hoà Xuân.</w:t>
      </w:r>
    </w:p>
    <w:p w14:paraId="0348C855" w14:textId="13163FE3" w:rsidR="00C6747C" w:rsidRDefault="00C6747C" w:rsidP="00C6747C">
      <w:pPr>
        <w:pStyle w:val="Heading3"/>
      </w:pPr>
      <w:r w:rsidRPr="00C6747C">
        <w:t>Phương</w:t>
      </w:r>
      <w:r w:rsidRPr="00C6747C">
        <w:rPr>
          <w:bCs/>
          <w:szCs w:val="28"/>
          <w:lang w:val="en"/>
        </w:rPr>
        <w:t xml:space="preserve"> pháp </w:t>
      </w:r>
      <w:r w:rsidR="003F34D0">
        <w:rPr>
          <w:bCs/>
          <w:szCs w:val="28"/>
          <w:lang w:val="en"/>
        </w:rPr>
        <w:t>xác định thành phần</w:t>
      </w:r>
    </w:p>
    <w:p w14:paraId="68F5F20F" w14:textId="60BB3347" w:rsidR="00EA77B7" w:rsidRDefault="001F7C36" w:rsidP="00C6747C">
      <w:r>
        <w:t xml:space="preserve">- Chọn ngẫu nhiên 99 mẫu CTR sinh hoạt tiến hành phân tích thành phần. Trong đó, 64 mẫu thu ngẫu nhiên từ 208 hộ gia đình đã cân khối lượng; 32 mẫu thu từ các điểm tạm chứa/trung chuyển trong thành phố; 03 mẫu phân loại tại bãi chôn lấp </w:t>
      </w:r>
      <w:r w:rsidR="00686BBA">
        <w:t xml:space="preserve">(BCL) </w:t>
      </w:r>
      <w:r>
        <w:t xml:space="preserve">của </w:t>
      </w:r>
      <w:r w:rsidR="00EA77B7">
        <w:t>TPBMT.</w:t>
      </w:r>
    </w:p>
    <w:p w14:paraId="17A73320" w14:textId="77777777" w:rsidR="00EA77B7" w:rsidRDefault="00EA77B7" w:rsidP="00C6747C">
      <w:r>
        <w:t>- Phương pháp phân loại mẫu CTR:</w:t>
      </w:r>
    </w:p>
    <w:p w14:paraId="3A7FFFB5" w14:textId="2AAD8F41" w:rsidR="00EA77B7" w:rsidRDefault="00EA77B7" w:rsidP="00C6747C">
      <w:r>
        <w:tab/>
        <w:t>+ Đối với mẫu tại các hộ gia đình: Với khối lượng không lớn nên phân</w:t>
      </w:r>
      <w:r w:rsidR="009D78E9">
        <w:t xml:space="preserve"> loại toàn bộ khối lượng sẵn có tại phòng thí nghiệm Công nghệ Môi trường, trường Đại học Tây Nguyên.</w:t>
      </w:r>
    </w:p>
    <w:p w14:paraId="1F6A965F" w14:textId="24114A33" w:rsidR="00B23F1D" w:rsidRDefault="00B23F1D" w:rsidP="00C6747C">
      <w:r>
        <w:tab/>
        <w:t xml:space="preserve">+ </w:t>
      </w:r>
      <w:r w:rsidR="00EA77B7">
        <w:t xml:space="preserve">Đối với mẫu tại điểm tạm chứa/trung chuyển CTR sinh hoạt: phân loại toàn bộ CTR hiện có </w:t>
      </w:r>
      <w:r>
        <w:t xml:space="preserve">tại hiện trường với khối lượng &lt;100kg hoặc </w:t>
      </w:r>
      <w:r w:rsidR="00EA77B7">
        <w:t>trong thùng chứa</w:t>
      </w:r>
      <w:r>
        <w:t xml:space="preserve"> &lt;500 lít. Với các điểm có tổng khối lượng &gt; 100 kg hoặc thùng chứa &gt; 500 kg thì </w:t>
      </w:r>
      <w:r w:rsidR="00506067">
        <w:t xml:space="preserve">phân loại </w:t>
      </w:r>
      <w:r>
        <w:t>tương tự</w:t>
      </w:r>
      <w:r w:rsidR="00506067">
        <w:t xml:space="preserve"> mẫu</w:t>
      </w:r>
      <w:r>
        <w:t xml:space="preserve"> tại </w:t>
      </w:r>
      <w:r w:rsidR="00686BBA">
        <w:t>BCL</w:t>
      </w:r>
      <w:r>
        <w:t>.</w:t>
      </w:r>
    </w:p>
    <w:p w14:paraId="40D9A212" w14:textId="4206866A" w:rsidR="003F34D0" w:rsidRDefault="00B23F1D" w:rsidP="00EA4D97">
      <w:pPr>
        <w:ind w:firstLine="567"/>
      </w:pPr>
      <w:r>
        <w:t xml:space="preserve">+ Đối với mẫu tại </w:t>
      </w:r>
      <w:r w:rsidR="00686BBA">
        <w:t>BCL</w:t>
      </w:r>
      <w:r>
        <w:t xml:space="preserve">: </w:t>
      </w:r>
      <w:r w:rsidR="00253B0D">
        <w:t>Tiến hành phân loại mẫu thu được từ xe chuyển đến. Vun đống hình chóp toàn bộ CTR từ xe thu gom, chia thành 4 phần bằng nhau theo 2 đường chéo đống CTR, chọn 2 phần đối diện trộn đều nhau. Tiếp tục vun đống hình chóp, chia 4 phần bằng nhau để chọn 2 phần đối diện cho đến khi tổng khối lượng khoảng 100 kg. Tiến hành phân loại mẫu mới thu được để xác định thành phần CTR.</w:t>
      </w:r>
      <w:r w:rsidR="001F7C36">
        <w:t xml:space="preserve">   </w:t>
      </w:r>
    </w:p>
    <w:p w14:paraId="1A3A179C" w14:textId="09729199" w:rsidR="00C6747C" w:rsidRDefault="00366F9C" w:rsidP="00366F9C">
      <w:pPr>
        <w:pStyle w:val="Heading3"/>
      </w:pPr>
      <w:r>
        <w:t>Phương pháp xử lý số liệu</w:t>
      </w:r>
    </w:p>
    <w:p w14:paraId="0C56B9D2" w14:textId="506E9BF4" w:rsidR="00366F9C" w:rsidRDefault="00366F9C" w:rsidP="009D7AE7">
      <w:r w:rsidRPr="004027C8">
        <w:rPr>
          <w:highlight w:val="yellow"/>
        </w:rPr>
        <w:t xml:space="preserve">Nghiên cứu sử dụng phần mềm Microsoft Excel </w:t>
      </w:r>
      <w:r w:rsidR="009D7AE7" w:rsidRPr="004027C8">
        <w:rPr>
          <w:highlight w:val="yellow"/>
        </w:rPr>
        <w:t xml:space="preserve">để nhập các dữ liệu từ phiếu điều tra và tính toán tỷ trọng các thành phần trong dòng thải. </w:t>
      </w:r>
      <w:r w:rsidR="004C313F">
        <w:rPr>
          <w:highlight w:val="yellow"/>
        </w:rPr>
        <w:t>P</w:t>
      </w:r>
      <w:r w:rsidR="009D7AE7" w:rsidRPr="004027C8">
        <w:rPr>
          <w:highlight w:val="yellow"/>
        </w:rPr>
        <w:t xml:space="preserve">hần mềm </w:t>
      </w:r>
      <w:r w:rsidRPr="004027C8">
        <w:rPr>
          <w:highlight w:val="yellow"/>
        </w:rPr>
        <w:t xml:space="preserve">SPSS </w:t>
      </w:r>
      <w:r w:rsidR="009D7AE7" w:rsidRPr="004027C8">
        <w:rPr>
          <w:highlight w:val="yellow"/>
        </w:rPr>
        <w:t xml:space="preserve">được dùng </w:t>
      </w:r>
      <w:r w:rsidRPr="004027C8">
        <w:rPr>
          <w:highlight w:val="yellow"/>
        </w:rPr>
        <w:t xml:space="preserve">để xử lý dữ liệu </w:t>
      </w:r>
      <w:r w:rsidR="009D7AE7" w:rsidRPr="004027C8">
        <w:rPr>
          <w:highlight w:val="yellow"/>
        </w:rPr>
        <w:t>và thống kê hệ số phát thải của TP BMT</w:t>
      </w:r>
      <w:r w:rsidRPr="004027C8">
        <w:rPr>
          <w:highlight w:val="yellow"/>
        </w:rPr>
        <w:t>.</w:t>
      </w:r>
    </w:p>
    <w:p w14:paraId="41A86E07" w14:textId="77777777" w:rsidR="005F40E9" w:rsidRPr="0065618C" w:rsidRDefault="000A1C28" w:rsidP="00E30DF7">
      <w:pPr>
        <w:pStyle w:val="Heading1"/>
      </w:pPr>
      <w:r>
        <w:t xml:space="preserve">Kết quả nghiên cứu và </w:t>
      </w:r>
      <w:r w:rsidR="00876F10">
        <w:t>bàn luận</w:t>
      </w:r>
    </w:p>
    <w:p w14:paraId="7591CF6B" w14:textId="2F118F0E" w:rsidR="00680995" w:rsidRPr="00680995" w:rsidRDefault="00DD5BD6" w:rsidP="00DD5BD6">
      <w:pPr>
        <w:pStyle w:val="Heading2"/>
      </w:pPr>
      <w:r>
        <w:t>Thu gom và xử lý CTR sinh hoạt tại TPBMT</w:t>
      </w:r>
    </w:p>
    <w:p w14:paraId="75CF23A5" w14:textId="36CEF8D3" w:rsidR="000029F7" w:rsidRDefault="00832034" w:rsidP="00832034">
      <w:pPr>
        <w:pStyle w:val="Heading3"/>
        <w:rPr>
          <w:lang w:val="x-none" w:eastAsia="x-none"/>
        </w:rPr>
      </w:pPr>
      <w:r>
        <w:rPr>
          <w:lang w:val="x-none" w:eastAsia="x-none"/>
        </w:rPr>
        <w:t>Thu gom</w:t>
      </w:r>
    </w:p>
    <w:p w14:paraId="3D2C9669" w14:textId="579D9A57" w:rsidR="00832034" w:rsidRDefault="00686BBA" w:rsidP="00832034">
      <w:r>
        <w:t>CTR sinh hoạt phát sinh từ các hộ gia đình, cơ sở thương mại, văn phòng, trường học…được thu gom</w:t>
      </w:r>
      <w:r w:rsidR="005C6467">
        <w:t xml:space="preserve"> bởi 02 đơn vị (Công ty Môi trường Đô thị thành phố</w:t>
      </w:r>
      <w:r w:rsidR="00AF3970">
        <w:t xml:space="preserve"> - </w:t>
      </w:r>
      <w:r w:rsidR="004E6FBA">
        <w:t xml:space="preserve">đơn vị </w:t>
      </w:r>
      <w:r w:rsidR="00AF3970">
        <w:t>công ích</w:t>
      </w:r>
      <w:r w:rsidR="005C6467">
        <w:t xml:space="preserve"> và Công ty Môi trường Phương Đông – </w:t>
      </w:r>
      <w:r w:rsidR="004E6FBA">
        <w:t xml:space="preserve">đơn vị </w:t>
      </w:r>
      <w:r w:rsidR="005C6467">
        <w:t>tư nhân)</w:t>
      </w:r>
      <w:r>
        <w:t xml:space="preserve"> bằng 03 hình thức sau: i) Thu gom trực tiếp từ nguồn thải </w:t>
      </w:r>
      <w:r w:rsidR="00C137F7">
        <w:t xml:space="preserve">bằng </w:t>
      </w:r>
      <w:r>
        <w:t xml:space="preserve">xe ép rác vận chuyển đến </w:t>
      </w:r>
      <w:r w:rsidR="00C137F7">
        <w:t xml:space="preserve">BCL; ii) Chủ nguồn thải tự mang đến điểm tạm chứa/thùng chứa gần nhất, chờ xe ép </w:t>
      </w:r>
      <w:r w:rsidR="00C137F7">
        <w:lastRenderedPageBreak/>
        <w:t>rác thu gom vận chuyển đến BCL; iii) Xe đẩy tay thu gom gom tại nguồn thải và tập kết tại điểm tạm chứa phù hợp chờ xe ép rác vận chuyển đến BCL</w:t>
      </w:r>
      <w:r w:rsidR="00D97792">
        <w:t xml:space="preserve"> [3]</w:t>
      </w:r>
      <w:r w:rsidR="005C71AE">
        <w:t>.</w:t>
      </w:r>
    </w:p>
    <w:p w14:paraId="010C267A" w14:textId="14052823" w:rsidR="005C6467" w:rsidRPr="005C6467" w:rsidRDefault="005C6467" w:rsidP="005C6467">
      <w:pPr>
        <w:pStyle w:val="Heading3"/>
        <w:rPr>
          <w:lang w:val="x-none" w:eastAsia="x-none"/>
        </w:rPr>
      </w:pPr>
      <w:r w:rsidRPr="005C6467">
        <w:rPr>
          <w:lang w:val="x-none" w:eastAsia="x-none"/>
        </w:rPr>
        <w:t>Xử lý</w:t>
      </w:r>
    </w:p>
    <w:p w14:paraId="24E182F6" w14:textId="1B04F54B" w:rsidR="005C6467" w:rsidRPr="005C6467" w:rsidRDefault="005C6467" w:rsidP="005C6467">
      <w:pPr>
        <w:rPr>
          <w:lang w:val="x-none" w:eastAsia="x-none"/>
        </w:rPr>
      </w:pPr>
      <w:r>
        <w:rPr>
          <w:lang w:val="x-none" w:eastAsia="x-none"/>
        </w:rPr>
        <w:t xml:space="preserve">Một phần các vật liệu có giá trị tái chế được thu hồi bởi chủ nguồn thải, người nhặt ve chai, </w:t>
      </w:r>
      <w:r w:rsidR="00C96E35">
        <w:rPr>
          <w:lang w:val="x-none" w:eastAsia="x-none"/>
        </w:rPr>
        <w:t xml:space="preserve">công nhân </w:t>
      </w:r>
      <w:r>
        <w:rPr>
          <w:lang w:val="x-none" w:eastAsia="x-none"/>
        </w:rPr>
        <w:t>thu gom. Phần còn lại của dòng thải được vận chuyển đến BCL của thành phố</w:t>
      </w:r>
      <w:r w:rsidR="00E74DCC">
        <w:rPr>
          <w:lang w:val="x-none" w:eastAsia="x-none"/>
        </w:rPr>
        <w:t xml:space="preserve"> tại xã Cư Eabur</w:t>
      </w:r>
      <w:r>
        <w:rPr>
          <w:lang w:val="x-none" w:eastAsia="x-none"/>
        </w:rPr>
        <w:t xml:space="preserve">. Tại đây, CTR được chất đống theo ô, chờ khô để </w:t>
      </w:r>
      <w:r w:rsidR="001B6AA8">
        <w:rPr>
          <w:lang w:val="x-none" w:eastAsia="x-none"/>
        </w:rPr>
        <w:t xml:space="preserve">đốt </w:t>
      </w:r>
      <w:r w:rsidR="00513B01">
        <w:rPr>
          <w:lang w:val="x-none" w:eastAsia="x-none"/>
        </w:rPr>
        <w:t>(</w:t>
      </w:r>
      <w:r w:rsidR="001B6AA8">
        <w:rPr>
          <w:lang w:val="x-none" w:eastAsia="x-none"/>
        </w:rPr>
        <w:t>open dump site</w:t>
      </w:r>
      <w:r w:rsidR="00513B01">
        <w:rPr>
          <w:lang w:val="x-none" w:eastAsia="x-none"/>
        </w:rPr>
        <w:t xml:space="preserve"> and burn</w:t>
      </w:r>
      <w:r w:rsidR="001B6AA8">
        <w:rPr>
          <w:lang w:val="x-none" w:eastAsia="x-none"/>
        </w:rPr>
        <w:t>).</w:t>
      </w:r>
      <w:r w:rsidR="00136481">
        <w:rPr>
          <w:lang w:val="x-none" w:eastAsia="x-none"/>
        </w:rPr>
        <w:t xml:space="preserve"> </w:t>
      </w:r>
      <w:r w:rsidR="007A59D3">
        <w:rPr>
          <w:lang w:val="x-none" w:eastAsia="x-none"/>
        </w:rPr>
        <w:t xml:space="preserve">Thực tế, BCL </w:t>
      </w:r>
      <w:r w:rsidR="00136481">
        <w:rPr>
          <w:lang w:val="x-none" w:eastAsia="x-none"/>
        </w:rPr>
        <w:t>chưa kiểm soát hiệu quả nước rỉ rác và mùi hôi.</w:t>
      </w:r>
    </w:p>
    <w:p w14:paraId="269760D0" w14:textId="29B5992D" w:rsidR="00876F10" w:rsidRDefault="007A59D3" w:rsidP="007A59D3">
      <w:pPr>
        <w:pStyle w:val="Heading2"/>
      </w:pPr>
      <w:r>
        <w:t>Kết quả thực nghiệm xác định hệ số phát thải CTRSH và tính khối lượng phát sinh của thành phố</w:t>
      </w:r>
    </w:p>
    <w:p w14:paraId="2A822BFB" w14:textId="2148BF1E" w:rsidR="001C644C" w:rsidRDefault="00AE20E6" w:rsidP="00530906">
      <w:r>
        <w:t>Kết quả phân tích dữ liệu thu thập từ thực nghiệm cân</w:t>
      </w:r>
      <w:r w:rsidR="00D023C6">
        <w:t xml:space="preserve"> 2.912 mẫu</w:t>
      </w:r>
      <w:r>
        <w:t xml:space="preserve"> CTR sinh hoạt tại nguồn </w:t>
      </w:r>
      <w:r w:rsidR="00D023C6">
        <w:t>của 208 hộ gia đình trên địa bàn TPBMT</w:t>
      </w:r>
      <w:r w:rsidR="007630B9">
        <w:t xml:space="preserve"> và tính hệ số phát thải</w:t>
      </w:r>
      <w:r w:rsidR="00D023C6">
        <w:t xml:space="preserve"> được trình bày trong </w:t>
      </w:r>
      <w:r w:rsidR="002C29E9">
        <w:t>B</w:t>
      </w:r>
      <w:r w:rsidR="00D023C6">
        <w:t xml:space="preserve">ảng </w:t>
      </w:r>
      <w:r w:rsidR="001C644C">
        <w:t xml:space="preserve">1. </w:t>
      </w:r>
    </w:p>
    <w:p w14:paraId="48710802" w14:textId="001519CE" w:rsidR="00EA2AF4" w:rsidRPr="00054EDF" w:rsidRDefault="00EA2AF4" w:rsidP="008E45B4">
      <w:pPr>
        <w:jc w:val="center"/>
        <w:rPr>
          <w:b/>
          <w:i/>
          <w:sz w:val="18"/>
          <w:szCs w:val="18"/>
        </w:rPr>
      </w:pPr>
      <w:r w:rsidRPr="00054EDF">
        <w:rPr>
          <w:b/>
          <w:i/>
          <w:sz w:val="18"/>
          <w:szCs w:val="18"/>
        </w:rPr>
        <w:t xml:space="preserve">Bảng 1: </w:t>
      </w:r>
      <w:r w:rsidR="008E45B4" w:rsidRPr="00054EDF">
        <w:rPr>
          <w:i/>
          <w:sz w:val="18"/>
          <w:szCs w:val="18"/>
        </w:rPr>
        <w:t>Hệ số phát thải và khối lượng CTR sinh hoạt của TPBMT</w:t>
      </w:r>
      <w:r w:rsidR="00C07690">
        <w:rPr>
          <w:i/>
          <w:sz w:val="18"/>
          <w:szCs w:val="18"/>
        </w:rPr>
        <w:t>.</w:t>
      </w:r>
    </w:p>
    <w:tbl>
      <w:tblPr>
        <w:tblStyle w:val="TableGrid"/>
        <w:tblW w:w="4676" w:type="dxa"/>
        <w:tblLook w:val="04A0" w:firstRow="1" w:lastRow="0" w:firstColumn="1" w:lastColumn="0" w:noHBand="0" w:noVBand="1"/>
      </w:tblPr>
      <w:tblGrid>
        <w:gridCol w:w="1286"/>
        <w:gridCol w:w="666"/>
        <w:gridCol w:w="666"/>
        <w:gridCol w:w="666"/>
        <w:gridCol w:w="666"/>
        <w:gridCol w:w="726"/>
      </w:tblGrid>
      <w:tr w:rsidR="00C05D21" w:rsidRPr="001F7CB6" w14:paraId="79B244DD" w14:textId="77777777" w:rsidTr="00C05D21">
        <w:tc>
          <w:tcPr>
            <w:tcW w:w="1286" w:type="dxa"/>
            <w:vMerge w:val="restart"/>
          </w:tcPr>
          <w:p w14:paraId="7A9D2E6E" w14:textId="4E0B0199" w:rsidR="00DC3EDB" w:rsidRPr="001F7CB6" w:rsidRDefault="00DC3EDB" w:rsidP="00C05D21">
            <w:pPr>
              <w:ind w:right="-71" w:firstLine="0"/>
              <w:rPr>
                <w:sz w:val="18"/>
                <w:szCs w:val="18"/>
              </w:rPr>
            </w:pPr>
            <w:bookmarkStart w:id="0" w:name="OLE_LINK1"/>
          </w:p>
        </w:tc>
        <w:tc>
          <w:tcPr>
            <w:tcW w:w="1998" w:type="dxa"/>
            <w:gridSpan w:val="3"/>
          </w:tcPr>
          <w:p w14:paraId="5A86F92C" w14:textId="77777777" w:rsidR="00DC3EDB" w:rsidRDefault="00DC3EDB" w:rsidP="000953E6">
            <w:pPr>
              <w:ind w:firstLine="0"/>
              <w:jc w:val="center"/>
              <w:rPr>
                <w:b/>
                <w:sz w:val="18"/>
                <w:szCs w:val="18"/>
              </w:rPr>
            </w:pPr>
            <w:r w:rsidRPr="000953E6">
              <w:rPr>
                <w:b/>
                <w:sz w:val="18"/>
                <w:szCs w:val="18"/>
              </w:rPr>
              <w:t>Kết quả thực nghiệm</w:t>
            </w:r>
            <w:r>
              <w:rPr>
                <w:b/>
                <w:sz w:val="18"/>
                <w:szCs w:val="18"/>
              </w:rPr>
              <w:t xml:space="preserve"> </w:t>
            </w:r>
          </w:p>
          <w:p w14:paraId="60EE3268" w14:textId="741BC4C7" w:rsidR="00DC3EDB" w:rsidRPr="001C3010" w:rsidRDefault="00DC3EDB" w:rsidP="00471A8E">
            <w:pPr>
              <w:ind w:firstLine="0"/>
              <w:jc w:val="center"/>
              <w:rPr>
                <w:i/>
                <w:sz w:val="18"/>
                <w:szCs w:val="18"/>
              </w:rPr>
            </w:pPr>
            <w:r>
              <w:rPr>
                <w:i/>
                <w:sz w:val="18"/>
                <w:szCs w:val="18"/>
              </w:rPr>
              <w:t>(P &lt; 0,05)</w:t>
            </w:r>
          </w:p>
        </w:tc>
        <w:tc>
          <w:tcPr>
            <w:tcW w:w="1392" w:type="dxa"/>
            <w:gridSpan w:val="2"/>
            <w:vAlign w:val="center"/>
          </w:tcPr>
          <w:p w14:paraId="46244D32" w14:textId="7EA6690E" w:rsidR="00DC3EDB" w:rsidRPr="000953E6" w:rsidRDefault="00DC3EDB" w:rsidP="00854FDF">
            <w:pPr>
              <w:ind w:firstLine="0"/>
              <w:jc w:val="center"/>
              <w:rPr>
                <w:b/>
                <w:sz w:val="18"/>
                <w:szCs w:val="18"/>
              </w:rPr>
            </w:pPr>
            <w:r w:rsidRPr="000953E6">
              <w:rPr>
                <w:b/>
                <w:sz w:val="18"/>
                <w:szCs w:val="18"/>
              </w:rPr>
              <w:t>Bộ TNMT</w:t>
            </w:r>
            <w:r>
              <w:rPr>
                <w:b/>
                <w:sz w:val="18"/>
                <w:szCs w:val="18"/>
              </w:rPr>
              <w:t xml:space="preserve"> (2012)</w:t>
            </w:r>
          </w:p>
        </w:tc>
      </w:tr>
      <w:tr w:rsidR="00C05D21" w:rsidRPr="001F7CB6" w14:paraId="79E55815" w14:textId="77777777" w:rsidTr="00C05D21">
        <w:trPr>
          <w:trHeight w:val="289"/>
        </w:trPr>
        <w:tc>
          <w:tcPr>
            <w:tcW w:w="1286" w:type="dxa"/>
            <w:vMerge/>
          </w:tcPr>
          <w:p w14:paraId="4708B9FC" w14:textId="77777777" w:rsidR="00DC3EDB" w:rsidRPr="001F7CB6" w:rsidRDefault="00DC3EDB" w:rsidP="007A59D3">
            <w:pPr>
              <w:ind w:firstLine="0"/>
              <w:rPr>
                <w:sz w:val="18"/>
                <w:szCs w:val="18"/>
              </w:rPr>
            </w:pPr>
          </w:p>
        </w:tc>
        <w:tc>
          <w:tcPr>
            <w:tcW w:w="666" w:type="dxa"/>
          </w:tcPr>
          <w:p w14:paraId="34D3E15F" w14:textId="2763F50C" w:rsidR="00DC3EDB" w:rsidRPr="00A44969" w:rsidRDefault="00DC3EDB" w:rsidP="000953E6">
            <w:pPr>
              <w:ind w:firstLine="0"/>
              <w:jc w:val="center"/>
              <w:rPr>
                <w:sz w:val="18"/>
                <w:szCs w:val="18"/>
              </w:rPr>
            </w:pPr>
            <w:r w:rsidRPr="00A44969">
              <w:rPr>
                <w:sz w:val="18"/>
                <w:szCs w:val="18"/>
              </w:rPr>
              <w:t>Nội thành</w:t>
            </w:r>
          </w:p>
        </w:tc>
        <w:tc>
          <w:tcPr>
            <w:tcW w:w="666" w:type="dxa"/>
          </w:tcPr>
          <w:p w14:paraId="3F79D7C6" w14:textId="1FE00748" w:rsidR="00DC3EDB" w:rsidRPr="00A44969" w:rsidRDefault="00DC3EDB" w:rsidP="000953E6">
            <w:pPr>
              <w:ind w:firstLine="0"/>
              <w:jc w:val="center"/>
              <w:rPr>
                <w:sz w:val="18"/>
                <w:szCs w:val="18"/>
              </w:rPr>
            </w:pPr>
            <w:r w:rsidRPr="00A44969">
              <w:rPr>
                <w:sz w:val="18"/>
                <w:szCs w:val="18"/>
              </w:rPr>
              <w:t>Ngoại thành</w:t>
            </w:r>
          </w:p>
        </w:tc>
        <w:tc>
          <w:tcPr>
            <w:tcW w:w="666" w:type="dxa"/>
          </w:tcPr>
          <w:p w14:paraId="70FEF923" w14:textId="588C00A9" w:rsidR="00DC3EDB" w:rsidRPr="00A44969" w:rsidRDefault="00DC3EDB" w:rsidP="000953E6">
            <w:pPr>
              <w:ind w:firstLine="0"/>
              <w:jc w:val="center"/>
              <w:rPr>
                <w:sz w:val="18"/>
                <w:szCs w:val="18"/>
              </w:rPr>
            </w:pPr>
            <w:r w:rsidRPr="00A44969">
              <w:rPr>
                <w:sz w:val="18"/>
                <w:szCs w:val="18"/>
              </w:rPr>
              <w:t>Trung bình</w:t>
            </w:r>
          </w:p>
        </w:tc>
        <w:tc>
          <w:tcPr>
            <w:tcW w:w="666" w:type="dxa"/>
          </w:tcPr>
          <w:p w14:paraId="012BE7D1" w14:textId="6775E438" w:rsidR="00DC3EDB" w:rsidRPr="00DC3EDB" w:rsidRDefault="00DC3EDB" w:rsidP="000953E6">
            <w:pPr>
              <w:ind w:firstLine="0"/>
              <w:jc w:val="center"/>
              <w:rPr>
                <w:sz w:val="18"/>
                <w:szCs w:val="18"/>
              </w:rPr>
            </w:pPr>
            <w:r w:rsidRPr="00DC3EDB">
              <w:rPr>
                <w:sz w:val="18"/>
                <w:szCs w:val="18"/>
              </w:rPr>
              <w:t>TPBMT</w:t>
            </w:r>
          </w:p>
        </w:tc>
        <w:tc>
          <w:tcPr>
            <w:tcW w:w="726" w:type="dxa"/>
          </w:tcPr>
          <w:p w14:paraId="40578DBD" w14:textId="1EB21F2A" w:rsidR="00DC3EDB" w:rsidRPr="006028EB" w:rsidRDefault="00DC3EDB" w:rsidP="000953E6">
            <w:pPr>
              <w:ind w:firstLine="0"/>
              <w:jc w:val="center"/>
              <w:rPr>
                <w:sz w:val="18"/>
                <w:szCs w:val="18"/>
                <w:highlight w:val="yellow"/>
              </w:rPr>
            </w:pPr>
            <w:r w:rsidRPr="006028EB">
              <w:rPr>
                <w:sz w:val="18"/>
                <w:szCs w:val="18"/>
                <w:highlight w:val="yellow"/>
              </w:rPr>
              <w:t>TP Đ</w:t>
            </w:r>
            <w:r w:rsidR="00ED28D1">
              <w:rPr>
                <w:sz w:val="18"/>
                <w:szCs w:val="18"/>
                <w:highlight w:val="yellow"/>
              </w:rPr>
              <w:t>à</w:t>
            </w:r>
            <w:r w:rsidRPr="006028EB">
              <w:rPr>
                <w:sz w:val="18"/>
                <w:szCs w:val="18"/>
                <w:highlight w:val="yellow"/>
              </w:rPr>
              <w:t xml:space="preserve"> N</w:t>
            </w:r>
            <w:r w:rsidR="00ED28D1">
              <w:rPr>
                <w:sz w:val="18"/>
                <w:szCs w:val="18"/>
                <w:highlight w:val="yellow"/>
              </w:rPr>
              <w:t>ẵng</w:t>
            </w:r>
          </w:p>
        </w:tc>
      </w:tr>
      <w:tr w:rsidR="008D7279" w:rsidRPr="001F7CB6" w14:paraId="7C56DE58" w14:textId="77777777" w:rsidTr="00C05D21">
        <w:trPr>
          <w:trHeight w:val="611"/>
        </w:trPr>
        <w:tc>
          <w:tcPr>
            <w:tcW w:w="1286" w:type="dxa"/>
          </w:tcPr>
          <w:p w14:paraId="47575A75" w14:textId="77777777" w:rsidR="00DC3EDB" w:rsidRDefault="00DC3EDB" w:rsidP="002D7A76">
            <w:pPr>
              <w:ind w:firstLine="0"/>
              <w:jc w:val="left"/>
              <w:rPr>
                <w:sz w:val="18"/>
                <w:szCs w:val="18"/>
              </w:rPr>
            </w:pPr>
            <w:r w:rsidRPr="001F7CB6">
              <w:rPr>
                <w:sz w:val="18"/>
                <w:szCs w:val="18"/>
              </w:rPr>
              <w:t>Hệ số phát thải</w:t>
            </w:r>
          </w:p>
          <w:p w14:paraId="6E712852" w14:textId="15C74498" w:rsidR="00DC3EDB" w:rsidRPr="001F7CB6" w:rsidRDefault="00DC3EDB" w:rsidP="002D7A76">
            <w:pPr>
              <w:ind w:firstLine="0"/>
              <w:jc w:val="left"/>
              <w:rPr>
                <w:sz w:val="18"/>
                <w:szCs w:val="18"/>
              </w:rPr>
            </w:pPr>
            <w:r>
              <w:rPr>
                <w:sz w:val="18"/>
                <w:szCs w:val="18"/>
              </w:rPr>
              <w:t>(kg/người/ngày)</w:t>
            </w:r>
          </w:p>
        </w:tc>
        <w:tc>
          <w:tcPr>
            <w:tcW w:w="666" w:type="dxa"/>
            <w:vAlign w:val="center"/>
          </w:tcPr>
          <w:p w14:paraId="0624B406" w14:textId="6BBF32F2" w:rsidR="00DC3EDB" w:rsidRPr="001F7CB6" w:rsidRDefault="00DC3EDB" w:rsidP="00CF651C">
            <w:pPr>
              <w:ind w:firstLine="0"/>
              <w:jc w:val="center"/>
              <w:rPr>
                <w:sz w:val="18"/>
                <w:szCs w:val="18"/>
              </w:rPr>
            </w:pPr>
            <w:r w:rsidRPr="00A324DA">
              <w:rPr>
                <w:sz w:val="18"/>
                <w:szCs w:val="18"/>
              </w:rPr>
              <w:t>0,49 ± 0,03</w:t>
            </w:r>
          </w:p>
        </w:tc>
        <w:tc>
          <w:tcPr>
            <w:tcW w:w="666" w:type="dxa"/>
            <w:vAlign w:val="center"/>
          </w:tcPr>
          <w:p w14:paraId="491B02C0" w14:textId="1B72B2F1" w:rsidR="00DC3EDB" w:rsidRPr="001F7CB6" w:rsidRDefault="00DC3EDB" w:rsidP="00CF651C">
            <w:pPr>
              <w:ind w:firstLine="0"/>
              <w:jc w:val="center"/>
              <w:rPr>
                <w:sz w:val="18"/>
                <w:szCs w:val="18"/>
              </w:rPr>
            </w:pPr>
            <w:r w:rsidRPr="00A324DA">
              <w:rPr>
                <w:sz w:val="18"/>
                <w:szCs w:val="18"/>
              </w:rPr>
              <w:t>0,41 ± 0,03</w:t>
            </w:r>
          </w:p>
        </w:tc>
        <w:tc>
          <w:tcPr>
            <w:tcW w:w="666" w:type="dxa"/>
            <w:vAlign w:val="center"/>
          </w:tcPr>
          <w:p w14:paraId="628C95CE" w14:textId="37C57C05" w:rsidR="00DC3EDB" w:rsidRPr="001F7CB6" w:rsidRDefault="00DC3EDB" w:rsidP="005A1FFB">
            <w:pPr>
              <w:ind w:firstLine="0"/>
              <w:jc w:val="center"/>
              <w:rPr>
                <w:sz w:val="18"/>
                <w:szCs w:val="18"/>
              </w:rPr>
            </w:pPr>
            <w:r w:rsidRPr="00A47A6B">
              <w:rPr>
                <w:sz w:val="18"/>
                <w:szCs w:val="20"/>
              </w:rPr>
              <w:t xml:space="preserve">0,47 </w:t>
            </w:r>
            <w:r w:rsidRPr="00A47A6B">
              <w:rPr>
                <w:sz w:val="18"/>
                <w:szCs w:val="20"/>
              </w:rPr>
              <w:sym w:font="Symbol" w:char="F0B1"/>
            </w:r>
            <w:r w:rsidRPr="00A47A6B">
              <w:rPr>
                <w:sz w:val="18"/>
                <w:szCs w:val="20"/>
              </w:rPr>
              <w:t xml:space="preserve"> 0,03</w:t>
            </w:r>
          </w:p>
        </w:tc>
        <w:tc>
          <w:tcPr>
            <w:tcW w:w="666" w:type="dxa"/>
            <w:vAlign w:val="center"/>
          </w:tcPr>
          <w:p w14:paraId="0C624ACF" w14:textId="77777777" w:rsidR="00DC3EDB" w:rsidRPr="00B63260" w:rsidRDefault="00DC3EDB" w:rsidP="00CF651C">
            <w:pPr>
              <w:ind w:firstLine="0"/>
              <w:jc w:val="center"/>
              <w:rPr>
                <w:sz w:val="18"/>
                <w:szCs w:val="18"/>
                <w:vertAlign w:val="superscript"/>
              </w:rPr>
            </w:pPr>
            <w:r>
              <w:rPr>
                <w:sz w:val="18"/>
                <w:szCs w:val="18"/>
              </w:rPr>
              <w:t>0,80</w:t>
            </w:r>
            <w:r>
              <w:rPr>
                <w:sz w:val="18"/>
                <w:szCs w:val="18"/>
                <w:vertAlign w:val="superscript"/>
              </w:rPr>
              <w:t>*</w:t>
            </w:r>
          </w:p>
        </w:tc>
        <w:tc>
          <w:tcPr>
            <w:tcW w:w="726" w:type="dxa"/>
            <w:vAlign w:val="center"/>
          </w:tcPr>
          <w:p w14:paraId="2C455EE9" w14:textId="64D675D8" w:rsidR="00DC3EDB" w:rsidRPr="006028EB" w:rsidRDefault="00DC3EDB" w:rsidP="00DC3EDB">
            <w:pPr>
              <w:ind w:firstLine="0"/>
              <w:jc w:val="center"/>
              <w:rPr>
                <w:sz w:val="18"/>
                <w:szCs w:val="18"/>
                <w:highlight w:val="yellow"/>
                <w:vertAlign w:val="superscript"/>
              </w:rPr>
            </w:pPr>
            <w:r w:rsidRPr="006028EB">
              <w:rPr>
                <w:sz w:val="18"/>
                <w:szCs w:val="18"/>
                <w:highlight w:val="yellow"/>
              </w:rPr>
              <w:t>0,8</w:t>
            </w:r>
            <w:r w:rsidRPr="006028EB">
              <w:rPr>
                <w:sz w:val="18"/>
                <w:szCs w:val="18"/>
                <w:highlight w:val="yellow"/>
              </w:rPr>
              <w:t>3</w:t>
            </w:r>
            <w:r w:rsidRPr="006028EB">
              <w:rPr>
                <w:sz w:val="18"/>
                <w:szCs w:val="18"/>
                <w:highlight w:val="yellow"/>
                <w:vertAlign w:val="superscript"/>
              </w:rPr>
              <w:t>*</w:t>
            </w:r>
          </w:p>
        </w:tc>
      </w:tr>
      <w:tr w:rsidR="00C05D21" w:rsidRPr="001F7CB6" w14:paraId="5997C2F5" w14:textId="77777777" w:rsidTr="00C05D21">
        <w:tc>
          <w:tcPr>
            <w:tcW w:w="1286" w:type="dxa"/>
          </w:tcPr>
          <w:p w14:paraId="2B9CBDAC" w14:textId="28981FFB" w:rsidR="00DC3EDB" w:rsidRPr="001F7CB6" w:rsidRDefault="00DC3EDB" w:rsidP="002D7A76">
            <w:pPr>
              <w:ind w:firstLine="0"/>
              <w:jc w:val="left"/>
              <w:rPr>
                <w:sz w:val="18"/>
                <w:szCs w:val="18"/>
              </w:rPr>
            </w:pPr>
            <w:r w:rsidRPr="001F7CB6">
              <w:rPr>
                <w:sz w:val="18"/>
                <w:szCs w:val="18"/>
              </w:rPr>
              <w:t xml:space="preserve">Dân số </w:t>
            </w:r>
            <w:r>
              <w:rPr>
                <w:sz w:val="18"/>
                <w:szCs w:val="18"/>
              </w:rPr>
              <w:t>(người)</w:t>
            </w:r>
          </w:p>
        </w:tc>
        <w:tc>
          <w:tcPr>
            <w:tcW w:w="666" w:type="dxa"/>
            <w:vAlign w:val="center"/>
          </w:tcPr>
          <w:p w14:paraId="372531F2" w14:textId="572359BE" w:rsidR="00DC3EDB" w:rsidRPr="001F7CB6" w:rsidRDefault="00DC3EDB" w:rsidP="00F075CA">
            <w:pPr>
              <w:ind w:right="25" w:firstLine="0"/>
              <w:jc w:val="right"/>
              <w:rPr>
                <w:sz w:val="18"/>
                <w:szCs w:val="18"/>
              </w:rPr>
            </w:pPr>
            <w:r>
              <w:rPr>
                <w:color w:val="000000"/>
                <w:sz w:val="18"/>
                <w:szCs w:val="18"/>
              </w:rPr>
              <w:t>228.308</w:t>
            </w:r>
          </w:p>
        </w:tc>
        <w:tc>
          <w:tcPr>
            <w:tcW w:w="666" w:type="dxa"/>
            <w:vAlign w:val="center"/>
          </w:tcPr>
          <w:p w14:paraId="28F9EF2D" w14:textId="062E96D3" w:rsidR="00DC3EDB" w:rsidRPr="001F7CB6" w:rsidRDefault="00DC3EDB" w:rsidP="00F075CA">
            <w:pPr>
              <w:ind w:right="25" w:firstLine="0"/>
              <w:jc w:val="right"/>
              <w:rPr>
                <w:sz w:val="18"/>
                <w:szCs w:val="18"/>
              </w:rPr>
            </w:pPr>
            <w:r>
              <w:rPr>
                <w:color w:val="000000"/>
                <w:sz w:val="18"/>
                <w:szCs w:val="18"/>
              </w:rPr>
              <w:t>122.842</w:t>
            </w:r>
          </w:p>
        </w:tc>
        <w:tc>
          <w:tcPr>
            <w:tcW w:w="666" w:type="dxa"/>
            <w:vAlign w:val="center"/>
          </w:tcPr>
          <w:p w14:paraId="51E2039F" w14:textId="35144866" w:rsidR="00DC3EDB" w:rsidRPr="001F7CB6" w:rsidRDefault="00DC3EDB" w:rsidP="00F075CA">
            <w:pPr>
              <w:ind w:right="25" w:firstLine="0"/>
              <w:jc w:val="right"/>
              <w:rPr>
                <w:sz w:val="18"/>
                <w:szCs w:val="18"/>
              </w:rPr>
            </w:pPr>
            <w:r>
              <w:rPr>
                <w:color w:val="000000"/>
                <w:sz w:val="18"/>
                <w:szCs w:val="18"/>
              </w:rPr>
              <w:t>351.150</w:t>
            </w:r>
          </w:p>
        </w:tc>
        <w:tc>
          <w:tcPr>
            <w:tcW w:w="666" w:type="dxa"/>
            <w:vAlign w:val="center"/>
          </w:tcPr>
          <w:p w14:paraId="33E5E75D" w14:textId="77777777" w:rsidR="00DC3EDB" w:rsidRPr="001F7CB6" w:rsidRDefault="00DC3EDB" w:rsidP="00F075CA">
            <w:pPr>
              <w:ind w:right="25" w:firstLine="0"/>
              <w:jc w:val="right"/>
              <w:rPr>
                <w:sz w:val="18"/>
                <w:szCs w:val="18"/>
              </w:rPr>
            </w:pPr>
            <w:r>
              <w:rPr>
                <w:color w:val="000000"/>
                <w:sz w:val="18"/>
                <w:szCs w:val="18"/>
              </w:rPr>
              <w:t>351.150</w:t>
            </w:r>
          </w:p>
        </w:tc>
        <w:tc>
          <w:tcPr>
            <w:tcW w:w="726" w:type="dxa"/>
            <w:vAlign w:val="center"/>
          </w:tcPr>
          <w:p w14:paraId="17595828" w14:textId="7084DB81" w:rsidR="00DC3EDB" w:rsidRPr="001F7CB6" w:rsidRDefault="00DC3EDB" w:rsidP="00F075CA">
            <w:pPr>
              <w:ind w:right="25" w:firstLine="0"/>
              <w:jc w:val="right"/>
              <w:rPr>
                <w:sz w:val="18"/>
                <w:szCs w:val="18"/>
              </w:rPr>
            </w:pPr>
          </w:p>
        </w:tc>
      </w:tr>
      <w:tr w:rsidR="00C05D21" w:rsidRPr="001F7CB6" w14:paraId="3DEF2322" w14:textId="77777777" w:rsidTr="00C05D21">
        <w:tc>
          <w:tcPr>
            <w:tcW w:w="1286" w:type="dxa"/>
          </w:tcPr>
          <w:p w14:paraId="5A84DEDD" w14:textId="049AB274" w:rsidR="00DC3EDB" w:rsidRPr="001F7CB6" w:rsidRDefault="00DC3EDB" w:rsidP="002D7A76">
            <w:pPr>
              <w:ind w:firstLine="0"/>
              <w:jc w:val="left"/>
              <w:rPr>
                <w:sz w:val="18"/>
                <w:szCs w:val="18"/>
              </w:rPr>
            </w:pPr>
            <w:r w:rsidRPr="001F7CB6">
              <w:rPr>
                <w:sz w:val="18"/>
                <w:szCs w:val="18"/>
              </w:rPr>
              <w:t>Khối lượng phát sinh</w:t>
            </w:r>
            <w:r>
              <w:rPr>
                <w:sz w:val="18"/>
                <w:szCs w:val="18"/>
              </w:rPr>
              <w:t xml:space="preserve"> (kg/ngày)</w:t>
            </w:r>
          </w:p>
        </w:tc>
        <w:tc>
          <w:tcPr>
            <w:tcW w:w="666" w:type="dxa"/>
            <w:vAlign w:val="center"/>
          </w:tcPr>
          <w:p w14:paraId="3666BCD9" w14:textId="3C80505C" w:rsidR="00DC3EDB" w:rsidRPr="001F7CB6" w:rsidRDefault="00DC3EDB" w:rsidP="00F075CA">
            <w:pPr>
              <w:ind w:right="25" w:firstLine="0"/>
              <w:jc w:val="right"/>
              <w:rPr>
                <w:sz w:val="18"/>
                <w:szCs w:val="18"/>
              </w:rPr>
            </w:pPr>
            <w:r>
              <w:rPr>
                <w:color w:val="000000"/>
                <w:sz w:val="18"/>
                <w:szCs w:val="18"/>
              </w:rPr>
              <w:t>111.871</w:t>
            </w:r>
          </w:p>
        </w:tc>
        <w:tc>
          <w:tcPr>
            <w:tcW w:w="666" w:type="dxa"/>
            <w:vAlign w:val="center"/>
          </w:tcPr>
          <w:p w14:paraId="1E6799BD" w14:textId="528E70FA" w:rsidR="00DC3EDB" w:rsidRPr="001F7CB6" w:rsidRDefault="00DC3EDB" w:rsidP="00F075CA">
            <w:pPr>
              <w:ind w:right="25" w:firstLine="0"/>
              <w:jc w:val="right"/>
              <w:rPr>
                <w:sz w:val="18"/>
                <w:szCs w:val="18"/>
              </w:rPr>
            </w:pPr>
            <w:r>
              <w:rPr>
                <w:color w:val="000000"/>
                <w:sz w:val="18"/>
                <w:szCs w:val="18"/>
              </w:rPr>
              <w:t>50.365</w:t>
            </w:r>
          </w:p>
        </w:tc>
        <w:tc>
          <w:tcPr>
            <w:tcW w:w="666" w:type="dxa"/>
            <w:vAlign w:val="center"/>
          </w:tcPr>
          <w:p w14:paraId="0781B763" w14:textId="02373E04" w:rsidR="00DC3EDB" w:rsidRPr="001F7CB6" w:rsidRDefault="00DC3EDB" w:rsidP="00F075CA">
            <w:pPr>
              <w:ind w:right="25" w:firstLine="0"/>
              <w:jc w:val="right"/>
              <w:rPr>
                <w:sz w:val="18"/>
                <w:szCs w:val="18"/>
              </w:rPr>
            </w:pPr>
            <w:r>
              <w:rPr>
                <w:color w:val="000000"/>
                <w:sz w:val="18"/>
                <w:szCs w:val="18"/>
              </w:rPr>
              <w:t>165.041</w:t>
            </w:r>
          </w:p>
        </w:tc>
        <w:tc>
          <w:tcPr>
            <w:tcW w:w="666" w:type="dxa"/>
            <w:vAlign w:val="center"/>
          </w:tcPr>
          <w:p w14:paraId="5DFDB737" w14:textId="77777777" w:rsidR="00DC3EDB" w:rsidRPr="001F7CB6" w:rsidRDefault="00DC3EDB" w:rsidP="00F075CA">
            <w:pPr>
              <w:ind w:right="25" w:firstLine="0"/>
              <w:jc w:val="right"/>
              <w:rPr>
                <w:sz w:val="18"/>
                <w:szCs w:val="18"/>
              </w:rPr>
            </w:pPr>
            <w:r>
              <w:rPr>
                <w:color w:val="000000"/>
                <w:sz w:val="18"/>
                <w:szCs w:val="18"/>
              </w:rPr>
              <w:t>280.920</w:t>
            </w:r>
          </w:p>
        </w:tc>
        <w:tc>
          <w:tcPr>
            <w:tcW w:w="726" w:type="dxa"/>
            <w:vAlign w:val="center"/>
          </w:tcPr>
          <w:p w14:paraId="16650EA2" w14:textId="0B42626B" w:rsidR="00DC3EDB" w:rsidRPr="008D7279" w:rsidRDefault="008D7279" w:rsidP="00F075CA">
            <w:pPr>
              <w:ind w:right="25" w:firstLine="0"/>
              <w:jc w:val="right"/>
              <w:rPr>
                <w:sz w:val="18"/>
                <w:szCs w:val="18"/>
                <w:vertAlign w:val="superscript"/>
              </w:rPr>
            </w:pPr>
            <w:r w:rsidRPr="008D7279">
              <w:rPr>
                <w:sz w:val="18"/>
                <w:szCs w:val="18"/>
                <w:highlight w:val="yellow"/>
              </w:rPr>
              <w:t>805.000</w:t>
            </w:r>
            <w:r w:rsidRPr="008D7279">
              <w:rPr>
                <w:sz w:val="18"/>
                <w:szCs w:val="18"/>
                <w:highlight w:val="yellow"/>
                <w:vertAlign w:val="superscript"/>
              </w:rPr>
              <w:t>*</w:t>
            </w:r>
          </w:p>
        </w:tc>
      </w:tr>
    </w:tbl>
    <w:bookmarkEnd w:id="0"/>
    <w:p w14:paraId="1BE7E763" w14:textId="3D22E660" w:rsidR="00657060" w:rsidRPr="00891A51" w:rsidRDefault="00B63260" w:rsidP="007A59D3">
      <w:pPr>
        <w:rPr>
          <w:i/>
          <w:sz w:val="18"/>
          <w:szCs w:val="16"/>
        </w:rPr>
      </w:pPr>
      <w:r w:rsidRPr="00891A51">
        <w:rPr>
          <w:i/>
          <w:sz w:val="18"/>
          <w:szCs w:val="16"/>
        </w:rPr>
        <w:t>Ghi chú: * Báo cáo hiện trạng Môi trường quốc gia 2</w:t>
      </w:r>
      <w:r w:rsidR="00FD5251" w:rsidRPr="00891A51">
        <w:rPr>
          <w:i/>
          <w:sz w:val="18"/>
          <w:szCs w:val="16"/>
        </w:rPr>
        <w:t>011: “Chất thải rắn” của Bộ Tài nguyên và Môi trường</w:t>
      </w:r>
      <w:r w:rsidR="002F030D" w:rsidRPr="00891A51">
        <w:rPr>
          <w:i/>
          <w:sz w:val="18"/>
          <w:szCs w:val="16"/>
        </w:rPr>
        <w:t xml:space="preserve">; </w:t>
      </w:r>
      <w:r w:rsidRPr="00891A51">
        <w:rPr>
          <w:i/>
          <w:sz w:val="18"/>
          <w:szCs w:val="16"/>
        </w:rPr>
        <w:t>Dân số trích dẫn từ Niên giám thống kê tỉnh Daklak năm 2014</w:t>
      </w:r>
      <w:r w:rsidR="001C644C" w:rsidRPr="00891A51">
        <w:rPr>
          <w:i/>
          <w:sz w:val="18"/>
          <w:szCs w:val="16"/>
        </w:rPr>
        <w:t>.</w:t>
      </w:r>
    </w:p>
    <w:p w14:paraId="7ED8AAA6" w14:textId="6C4DBF1B" w:rsidR="00530906" w:rsidRPr="006457A8" w:rsidRDefault="00530906" w:rsidP="007A59D3">
      <w:pPr>
        <w:rPr>
          <w:sz w:val="24"/>
          <w:szCs w:val="20"/>
        </w:rPr>
      </w:pPr>
      <w:r>
        <w:t xml:space="preserve">Số liệu nghiên cứu thực nghiệm cho thấy hệ số phát thải trung bình CTR sinh hoạt của TPBMT là </w:t>
      </w:r>
      <w:r w:rsidRPr="002A5FC5">
        <w:rPr>
          <w:szCs w:val="20"/>
        </w:rPr>
        <w:t>0</w:t>
      </w:r>
      <w:r>
        <w:rPr>
          <w:szCs w:val="20"/>
        </w:rPr>
        <w:t>,</w:t>
      </w:r>
      <w:r w:rsidRPr="002A5FC5">
        <w:rPr>
          <w:szCs w:val="20"/>
        </w:rPr>
        <w:t xml:space="preserve">47 </w:t>
      </w:r>
      <w:r w:rsidRPr="002A5FC5">
        <w:rPr>
          <w:szCs w:val="20"/>
        </w:rPr>
        <w:sym w:font="Symbol" w:char="F0B1"/>
      </w:r>
      <w:r w:rsidRPr="002A5FC5">
        <w:rPr>
          <w:szCs w:val="20"/>
        </w:rPr>
        <w:t xml:space="preserve"> 0,03</w:t>
      </w:r>
      <w:r>
        <w:rPr>
          <w:szCs w:val="20"/>
        </w:rPr>
        <w:t xml:space="preserve"> kg/người/ngày, </w:t>
      </w:r>
      <w:r w:rsidRPr="004505FD">
        <w:rPr>
          <w:szCs w:val="20"/>
          <w:highlight w:val="yellow"/>
        </w:rPr>
        <w:t>thấp hơn đáng kể so với số liệu phát thải CTR đô thị trung bình cho thành phố cấp 1 – Buôn Ma Thuột của Bộ TN</w:t>
      </w:r>
      <w:r w:rsidR="0045198D" w:rsidRPr="004505FD">
        <w:rPr>
          <w:szCs w:val="20"/>
          <w:highlight w:val="yellow"/>
        </w:rPr>
        <w:t>&amp;</w:t>
      </w:r>
      <w:r w:rsidRPr="004505FD">
        <w:rPr>
          <w:szCs w:val="20"/>
          <w:highlight w:val="yellow"/>
        </w:rPr>
        <w:t>MT (2012) là 0,80 kg/người/ngày</w:t>
      </w:r>
      <w:r w:rsidR="00237C70" w:rsidRPr="004505FD">
        <w:rPr>
          <w:szCs w:val="20"/>
          <w:highlight w:val="yellow"/>
        </w:rPr>
        <w:t xml:space="preserve"> và thành phố </w:t>
      </w:r>
      <w:r w:rsidR="00B355F8">
        <w:rPr>
          <w:szCs w:val="20"/>
          <w:highlight w:val="yellow"/>
        </w:rPr>
        <w:t xml:space="preserve">cấp 1 - </w:t>
      </w:r>
      <w:r w:rsidR="00237C70" w:rsidRPr="004505FD">
        <w:rPr>
          <w:szCs w:val="20"/>
          <w:highlight w:val="yellow"/>
        </w:rPr>
        <w:t>Đà Nẵng là 0,83 kg/người/ngày</w:t>
      </w:r>
      <w:r w:rsidRPr="004505FD">
        <w:rPr>
          <w:szCs w:val="20"/>
          <w:highlight w:val="yellow"/>
        </w:rPr>
        <w:t>.</w:t>
      </w:r>
      <w:r>
        <w:rPr>
          <w:szCs w:val="20"/>
        </w:rPr>
        <w:t xml:space="preserve"> Có thể điều này thể hiện tính đặc thù thực tế phát sinh chất thải của </w:t>
      </w:r>
      <w:r w:rsidR="00AC3070">
        <w:rPr>
          <w:szCs w:val="20"/>
        </w:rPr>
        <w:t xml:space="preserve">thành phố </w:t>
      </w:r>
      <w:r>
        <w:rPr>
          <w:szCs w:val="20"/>
        </w:rPr>
        <w:t>thấp hơn so với tính toán định tính.</w:t>
      </w:r>
    </w:p>
    <w:p w14:paraId="3C505FB6" w14:textId="413A4323" w:rsidR="00657060" w:rsidRDefault="00657060" w:rsidP="00657060">
      <w:pPr>
        <w:pStyle w:val="Heading2"/>
        <w:rPr>
          <w:szCs w:val="20"/>
        </w:rPr>
      </w:pPr>
      <w:r>
        <w:rPr>
          <w:szCs w:val="20"/>
        </w:rPr>
        <w:t>Kết quả thực nghiệm phân loại CTR sinh hoạt của TPBMT</w:t>
      </w:r>
    </w:p>
    <w:p w14:paraId="732E6489" w14:textId="3AC2A2AD" w:rsidR="00657060" w:rsidRDefault="00810894" w:rsidP="00657060">
      <w:r>
        <w:t xml:space="preserve">Kết quả thực nghiệm phân loại 99 mẫu CTR sinh hoạt của TPBMT được trình bày trong Bảng 2 </w:t>
      </w:r>
      <w:r w:rsidR="00F21D8E">
        <w:t>cho thấy rác hữu cơ chiếm tỷ trọng cao nhất, dao động từ 56,28% ở nguồn thải đến 74,8% ở BCL. Tiếp theo là nhựa &gt;11,2 %; Theo sau là giấy, carton, thuỷ tinh; Và các loại khác chiếm tỷ trọng không nhiều trong dòng thải. Số liệu trên cho thấy, như các khu vực khác, nếu CTR sinh hoạt được phân loại ngay tại nguồn, thành phố có thể tái sử dụng và tái chế phần lớn chất thải, giảm khối lượng cần chôn lấp và xử lý.</w:t>
      </w:r>
    </w:p>
    <w:p w14:paraId="57E79D8A" w14:textId="77777777" w:rsidR="00F21D8E" w:rsidRDefault="00F21D8E" w:rsidP="00657060"/>
    <w:p w14:paraId="6B93970A" w14:textId="77777777" w:rsidR="00F21D8E" w:rsidRDefault="00F21D8E" w:rsidP="00657060"/>
    <w:p w14:paraId="181647A8" w14:textId="77777777" w:rsidR="00F21D8E" w:rsidRDefault="00F21D8E" w:rsidP="00657060"/>
    <w:p w14:paraId="29C7B699" w14:textId="77777777" w:rsidR="00F21D8E" w:rsidRDefault="00F21D8E" w:rsidP="00657060"/>
    <w:p w14:paraId="24D1E82F" w14:textId="448BA55D" w:rsidR="002C29E9" w:rsidRPr="00054EDF" w:rsidRDefault="000A0BFE" w:rsidP="00054EDF">
      <w:pPr>
        <w:ind w:firstLine="0"/>
        <w:jc w:val="center"/>
        <w:rPr>
          <w:i/>
          <w:sz w:val="18"/>
          <w:szCs w:val="18"/>
        </w:rPr>
      </w:pPr>
      <w:r w:rsidRPr="00054EDF">
        <w:rPr>
          <w:b/>
          <w:i/>
          <w:sz w:val="18"/>
          <w:szCs w:val="18"/>
        </w:rPr>
        <w:lastRenderedPageBreak/>
        <w:t xml:space="preserve">Bảng 2: </w:t>
      </w:r>
      <w:r w:rsidRPr="00054EDF">
        <w:rPr>
          <w:i/>
          <w:sz w:val="18"/>
          <w:szCs w:val="18"/>
        </w:rPr>
        <w:t xml:space="preserve">Thành phần CTR sinh hoạt của TPBMT </w:t>
      </w:r>
      <w:r w:rsidR="007134D6" w:rsidRPr="00054EDF">
        <w:rPr>
          <w:i/>
          <w:sz w:val="18"/>
          <w:szCs w:val="18"/>
        </w:rPr>
        <w:t>(%)</w:t>
      </w:r>
      <w:r w:rsidR="00C07690">
        <w:rPr>
          <w:i/>
          <w:sz w:val="18"/>
          <w:szCs w:val="18"/>
        </w:rPr>
        <w:t>.</w:t>
      </w:r>
    </w:p>
    <w:tbl>
      <w:tblPr>
        <w:tblStyle w:val="TableGrid"/>
        <w:tblW w:w="0" w:type="auto"/>
        <w:tblLook w:val="04A0" w:firstRow="1" w:lastRow="0" w:firstColumn="1" w:lastColumn="0" w:noHBand="0" w:noVBand="1"/>
      </w:tblPr>
      <w:tblGrid>
        <w:gridCol w:w="282"/>
        <w:gridCol w:w="1273"/>
        <w:gridCol w:w="778"/>
        <w:gridCol w:w="778"/>
        <w:gridCol w:w="778"/>
        <w:gridCol w:w="778"/>
      </w:tblGrid>
      <w:tr w:rsidR="00AD2912" w:rsidRPr="00ED28D1" w14:paraId="706F5E77" w14:textId="1BCD8F22" w:rsidTr="00FB2080">
        <w:trPr>
          <w:trHeight w:val="738"/>
        </w:trPr>
        <w:tc>
          <w:tcPr>
            <w:tcW w:w="282" w:type="dxa"/>
            <w:vAlign w:val="center"/>
          </w:tcPr>
          <w:p w14:paraId="547D885E" w14:textId="13727DDF" w:rsidR="00ED28D1" w:rsidRPr="00ED28D1" w:rsidRDefault="00ED28D1" w:rsidP="005B2376">
            <w:pPr>
              <w:spacing w:before="0" w:after="0" w:line="276" w:lineRule="auto"/>
              <w:ind w:firstLine="0"/>
              <w:jc w:val="center"/>
              <w:rPr>
                <w:sz w:val="18"/>
                <w:szCs w:val="18"/>
              </w:rPr>
            </w:pPr>
            <w:r w:rsidRPr="00ED28D1">
              <w:rPr>
                <w:b/>
                <w:bCs/>
                <w:color w:val="000000"/>
                <w:sz w:val="18"/>
                <w:szCs w:val="18"/>
              </w:rPr>
              <w:t>Stt</w:t>
            </w:r>
          </w:p>
        </w:tc>
        <w:tc>
          <w:tcPr>
            <w:tcW w:w="1273" w:type="dxa"/>
            <w:vAlign w:val="center"/>
          </w:tcPr>
          <w:p w14:paraId="6EE5677F" w14:textId="23B671A9" w:rsidR="00ED28D1" w:rsidRPr="00ED28D1" w:rsidRDefault="00ED28D1" w:rsidP="005B2376">
            <w:pPr>
              <w:spacing w:before="0" w:after="0" w:line="276" w:lineRule="auto"/>
              <w:ind w:firstLine="0"/>
              <w:jc w:val="center"/>
              <w:rPr>
                <w:sz w:val="18"/>
                <w:szCs w:val="18"/>
              </w:rPr>
            </w:pPr>
            <w:r w:rsidRPr="00ED28D1">
              <w:rPr>
                <w:b/>
                <w:bCs/>
                <w:color w:val="000000"/>
                <w:sz w:val="18"/>
                <w:szCs w:val="18"/>
              </w:rPr>
              <w:t>Thành phần</w:t>
            </w:r>
          </w:p>
        </w:tc>
        <w:tc>
          <w:tcPr>
            <w:tcW w:w="778" w:type="dxa"/>
            <w:vAlign w:val="center"/>
          </w:tcPr>
          <w:p w14:paraId="71C05BCF" w14:textId="2933294D" w:rsidR="00ED28D1" w:rsidRPr="00ED28D1" w:rsidRDefault="00ED28D1" w:rsidP="005B2376">
            <w:pPr>
              <w:spacing w:before="0" w:after="0" w:line="276" w:lineRule="auto"/>
              <w:ind w:firstLine="0"/>
              <w:jc w:val="center"/>
              <w:rPr>
                <w:sz w:val="18"/>
                <w:szCs w:val="18"/>
              </w:rPr>
            </w:pPr>
            <w:r w:rsidRPr="00ED28D1">
              <w:rPr>
                <w:b/>
                <w:bCs/>
                <w:color w:val="000000"/>
                <w:sz w:val="18"/>
                <w:szCs w:val="18"/>
              </w:rPr>
              <w:t>Hộ gia đình</w:t>
            </w:r>
          </w:p>
        </w:tc>
        <w:tc>
          <w:tcPr>
            <w:tcW w:w="778" w:type="dxa"/>
            <w:vAlign w:val="center"/>
          </w:tcPr>
          <w:p w14:paraId="7B8F0AF5" w14:textId="2AC43EB3" w:rsidR="00ED28D1" w:rsidRPr="00ED28D1" w:rsidRDefault="00ED28D1" w:rsidP="005B2376">
            <w:pPr>
              <w:spacing w:before="0" w:after="0" w:line="276" w:lineRule="auto"/>
              <w:ind w:firstLine="0"/>
              <w:jc w:val="center"/>
              <w:rPr>
                <w:sz w:val="18"/>
                <w:szCs w:val="18"/>
              </w:rPr>
            </w:pPr>
            <w:r w:rsidRPr="00ED28D1">
              <w:rPr>
                <w:b/>
                <w:bCs/>
                <w:color w:val="000000"/>
                <w:sz w:val="18"/>
                <w:szCs w:val="18"/>
              </w:rPr>
              <w:t>Điễm trung chuyển</w:t>
            </w:r>
          </w:p>
        </w:tc>
        <w:tc>
          <w:tcPr>
            <w:tcW w:w="778" w:type="dxa"/>
            <w:vAlign w:val="center"/>
          </w:tcPr>
          <w:p w14:paraId="39A45576" w14:textId="45A616B1" w:rsidR="00ED28D1" w:rsidRPr="00ED28D1" w:rsidRDefault="00ED28D1" w:rsidP="005B2376">
            <w:pPr>
              <w:spacing w:before="0" w:after="0" w:line="276" w:lineRule="auto"/>
              <w:ind w:firstLine="0"/>
              <w:jc w:val="center"/>
              <w:rPr>
                <w:sz w:val="18"/>
                <w:szCs w:val="18"/>
              </w:rPr>
            </w:pPr>
            <w:r w:rsidRPr="00ED28D1">
              <w:rPr>
                <w:b/>
                <w:bCs/>
                <w:color w:val="000000"/>
                <w:sz w:val="18"/>
                <w:szCs w:val="18"/>
              </w:rPr>
              <w:t>Bãi chôn lấp</w:t>
            </w:r>
          </w:p>
        </w:tc>
        <w:tc>
          <w:tcPr>
            <w:tcW w:w="778" w:type="dxa"/>
            <w:vAlign w:val="center"/>
          </w:tcPr>
          <w:p w14:paraId="37F8CC9D" w14:textId="790408C2" w:rsidR="00ED28D1" w:rsidRPr="001E2A77" w:rsidRDefault="00ED28D1" w:rsidP="00DB08B3">
            <w:pPr>
              <w:spacing w:before="0" w:after="0" w:line="276" w:lineRule="auto"/>
              <w:ind w:firstLine="0"/>
              <w:jc w:val="center"/>
              <w:rPr>
                <w:b/>
                <w:bCs/>
                <w:color w:val="000000"/>
                <w:sz w:val="18"/>
                <w:szCs w:val="18"/>
                <w:highlight w:val="yellow"/>
                <w:vertAlign w:val="superscript"/>
              </w:rPr>
            </w:pPr>
            <w:r w:rsidRPr="00302665">
              <w:rPr>
                <w:b/>
                <w:bCs/>
                <w:color w:val="000000"/>
                <w:sz w:val="18"/>
                <w:szCs w:val="18"/>
                <w:highlight w:val="yellow"/>
              </w:rPr>
              <w:t>TP Đà Nẵng</w:t>
            </w:r>
            <w:bookmarkStart w:id="1" w:name="_GoBack"/>
            <w:bookmarkEnd w:id="1"/>
          </w:p>
        </w:tc>
      </w:tr>
      <w:tr w:rsidR="00AD2912" w:rsidRPr="00ED28D1" w14:paraId="38C423F5" w14:textId="5ECE84E4" w:rsidTr="00AD2912">
        <w:trPr>
          <w:trHeight w:val="272"/>
        </w:trPr>
        <w:tc>
          <w:tcPr>
            <w:tcW w:w="282" w:type="dxa"/>
            <w:vAlign w:val="bottom"/>
          </w:tcPr>
          <w:p w14:paraId="7B87E9D2" w14:textId="0FC170F3" w:rsidR="00ED28D1" w:rsidRPr="00ED28D1" w:rsidRDefault="00ED28D1" w:rsidP="005B2376">
            <w:pPr>
              <w:spacing w:before="0" w:after="0" w:line="276" w:lineRule="auto"/>
              <w:ind w:firstLine="0"/>
              <w:rPr>
                <w:sz w:val="18"/>
                <w:szCs w:val="18"/>
              </w:rPr>
            </w:pPr>
            <w:r w:rsidRPr="00ED28D1">
              <w:rPr>
                <w:color w:val="000000"/>
                <w:sz w:val="18"/>
                <w:szCs w:val="18"/>
              </w:rPr>
              <w:t>1</w:t>
            </w:r>
          </w:p>
        </w:tc>
        <w:tc>
          <w:tcPr>
            <w:tcW w:w="1273" w:type="dxa"/>
            <w:vAlign w:val="bottom"/>
          </w:tcPr>
          <w:p w14:paraId="28222164" w14:textId="0B16DC4B" w:rsidR="00ED28D1" w:rsidRPr="00ED28D1" w:rsidRDefault="00ED28D1" w:rsidP="005B2376">
            <w:pPr>
              <w:spacing w:before="0" w:after="0" w:line="276" w:lineRule="auto"/>
              <w:ind w:firstLine="0"/>
              <w:rPr>
                <w:sz w:val="18"/>
                <w:szCs w:val="18"/>
              </w:rPr>
            </w:pPr>
            <w:r w:rsidRPr="00ED28D1">
              <w:rPr>
                <w:color w:val="000000"/>
                <w:sz w:val="18"/>
                <w:szCs w:val="18"/>
              </w:rPr>
              <w:t>Rác hữu cơ</w:t>
            </w:r>
          </w:p>
        </w:tc>
        <w:tc>
          <w:tcPr>
            <w:tcW w:w="778" w:type="dxa"/>
            <w:vAlign w:val="bottom"/>
          </w:tcPr>
          <w:p w14:paraId="4067B5CC" w14:textId="070DDDB3" w:rsidR="00ED28D1" w:rsidRPr="00ED28D1" w:rsidRDefault="00ED28D1" w:rsidP="005B2376">
            <w:pPr>
              <w:spacing w:before="0" w:after="0" w:line="276" w:lineRule="auto"/>
              <w:ind w:right="108" w:firstLine="0"/>
              <w:jc w:val="right"/>
              <w:rPr>
                <w:sz w:val="18"/>
                <w:szCs w:val="18"/>
              </w:rPr>
            </w:pPr>
            <w:r w:rsidRPr="00ED28D1">
              <w:rPr>
                <w:color w:val="000000"/>
                <w:sz w:val="18"/>
                <w:szCs w:val="18"/>
              </w:rPr>
              <w:t>56,28</w:t>
            </w:r>
          </w:p>
        </w:tc>
        <w:tc>
          <w:tcPr>
            <w:tcW w:w="778" w:type="dxa"/>
            <w:vAlign w:val="bottom"/>
          </w:tcPr>
          <w:p w14:paraId="65B61CFD" w14:textId="39FED533" w:rsidR="00ED28D1" w:rsidRPr="00ED28D1" w:rsidRDefault="00ED28D1" w:rsidP="005B2376">
            <w:pPr>
              <w:spacing w:before="0" w:after="0" w:line="276" w:lineRule="auto"/>
              <w:ind w:right="108" w:firstLine="0"/>
              <w:jc w:val="right"/>
              <w:rPr>
                <w:sz w:val="18"/>
                <w:szCs w:val="18"/>
              </w:rPr>
            </w:pPr>
            <w:r w:rsidRPr="00ED28D1">
              <w:rPr>
                <w:color w:val="000000"/>
                <w:sz w:val="18"/>
                <w:szCs w:val="18"/>
              </w:rPr>
              <w:t>55,72</w:t>
            </w:r>
          </w:p>
        </w:tc>
        <w:tc>
          <w:tcPr>
            <w:tcW w:w="778" w:type="dxa"/>
          </w:tcPr>
          <w:p w14:paraId="1682F380" w14:textId="0045CFB6" w:rsidR="00ED28D1" w:rsidRPr="00ED28D1" w:rsidRDefault="00ED28D1" w:rsidP="005B2376">
            <w:pPr>
              <w:spacing w:before="0" w:after="0" w:line="276" w:lineRule="auto"/>
              <w:ind w:right="108" w:firstLine="0"/>
              <w:jc w:val="right"/>
              <w:rPr>
                <w:sz w:val="18"/>
                <w:szCs w:val="18"/>
              </w:rPr>
            </w:pPr>
            <w:r w:rsidRPr="00ED28D1">
              <w:rPr>
                <w:color w:val="000000"/>
                <w:sz w:val="18"/>
                <w:szCs w:val="18"/>
              </w:rPr>
              <w:t>74,80</w:t>
            </w:r>
          </w:p>
        </w:tc>
        <w:tc>
          <w:tcPr>
            <w:tcW w:w="778" w:type="dxa"/>
          </w:tcPr>
          <w:p w14:paraId="33CD0136" w14:textId="7F119637" w:rsidR="00ED28D1" w:rsidRPr="00302665" w:rsidRDefault="00AD2912" w:rsidP="005B2376">
            <w:pPr>
              <w:spacing w:before="0" w:after="0" w:line="276" w:lineRule="auto"/>
              <w:ind w:right="108" w:firstLine="0"/>
              <w:jc w:val="right"/>
              <w:rPr>
                <w:color w:val="000000"/>
                <w:sz w:val="18"/>
                <w:szCs w:val="18"/>
                <w:highlight w:val="yellow"/>
              </w:rPr>
            </w:pPr>
            <w:r w:rsidRPr="00302665">
              <w:rPr>
                <w:color w:val="000000"/>
                <w:sz w:val="18"/>
                <w:szCs w:val="18"/>
                <w:highlight w:val="yellow"/>
              </w:rPr>
              <w:t>68,47</w:t>
            </w:r>
            <w:r w:rsidR="00A2469A">
              <w:rPr>
                <w:b/>
                <w:bCs/>
                <w:color w:val="000000"/>
                <w:sz w:val="18"/>
                <w:szCs w:val="18"/>
                <w:highlight w:val="yellow"/>
                <w:vertAlign w:val="superscript"/>
              </w:rPr>
              <w:t>*</w:t>
            </w:r>
          </w:p>
        </w:tc>
      </w:tr>
      <w:tr w:rsidR="00AD2912" w:rsidRPr="00ED28D1" w14:paraId="63B9DE4F" w14:textId="5AB43B0C" w:rsidTr="00AD2912">
        <w:trPr>
          <w:trHeight w:val="281"/>
        </w:trPr>
        <w:tc>
          <w:tcPr>
            <w:tcW w:w="282" w:type="dxa"/>
            <w:vAlign w:val="bottom"/>
          </w:tcPr>
          <w:p w14:paraId="57A43928" w14:textId="113E25DA" w:rsidR="00ED28D1" w:rsidRPr="00ED28D1" w:rsidRDefault="00ED28D1" w:rsidP="005B2376">
            <w:pPr>
              <w:spacing w:before="0" w:after="0" w:line="276" w:lineRule="auto"/>
              <w:ind w:firstLine="0"/>
              <w:rPr>
                <w:sz w:val="18"/>
                <w:szCs w:val="18"/>
              </w:rPr>
            </w:pPr>
            <w:r w:rsidRPr="00ED28D1">
              <w:rPr>
                <w:color w:val="000000"/>
                <w:sz w:val="18"/>
                <w:szCs w:val="18"/>
              </w:rPr>
              <w:t>2</w:t>
            </w:r>
          </w:p>
        </w:tc>
        <w:tc>
          <w:tcPr>
            <w:tcW w:w="1273" w:type="dxa"/>
            <w:vAlign w:val="bottom"/>
          </w:tcPr>
          <w:p w14:paraId="5231947D" w14:textId="183EE089" w:rsidR="00ED28D1" w:rsidRPr="00ED28D1" w:rsidRDefault="00ED28D1" w:rsidP="005B2376">
            <w:pPr>
              <w:spacing w:before="0" w:after="0" w:line="276" w:lineRule="auto"/>
              <w:ind w:firstLine="0"/>
              <w:rPr>
                <w:sz w:val="18"/>
                <w:szCs w:val="18"/>
              </w:rPr>
            </w:pPr>
            <w:r w:rsidRPr="00ED28D1">
              <w:rPr>
                <w:color w:val="000000"/>
                <w:sz w:val="18"/>
                <w:szCs w:val="18"/>
              </w:rPr>
              <w:t>Giấy</w:t>
            </w:r>
          </w:p>
        </w:tc>
        <w:tc>
          <w:tcPr>
            <w:tcW w:w="778" w:type="dxa"/>
            <w:vAlign w:val="bottom"/>
          </w:tcPr>
          <w:p w14:paraId="531A5AE6" w14:textId="3F389C6D" w:rsidR="00ED28D1" w:rsidRPr="00ED28D1" w:rsidRDefault="00ED28D1" w:rsidP="005B2376">
            <w:pPr>
              <w:spacing w:before="0" w:after="0" w:line="276" w:lineRule="auto"/>
              <w:ind w:right="108" w:firstLine="0"/>
              <w:jc w:val="right"/>
              <w:rPr>
                <w:sz w:val="18"/>
                <w:szCs w:val="18"/>
              </w:rPr>
            </w:pPr>
            <w:r w:rsidRPr="00ED28D1">
              <w:rPr>
                <w:color w:val="000000"/>
                <w:sz w:val="18"/>
                <w:szCs w:val="18"/>
              </w:rPr>
              <w:t>7,70</w:t>
            </w:r>
          </w:p>
        </w:tc>
        <w:tc>
          <w:tcPr>
            <w:tcW w:w="778" w:type="dxa"/>
            <w:vAlign w:val="bottom"/>
          </w:tcPr>
          <w:p w14:paraId="351DFB14" w14:textId="79D5D785" w:rsidR="00ED28D1" w:rsidRPr="00ED28D1" w:rsidRDefault="00ED28D1" w:rsidP="005B2376">
            <w:pPr>
              <w:spacing w:before="0" w:after="0" w:line="276" w:lineRule="auto"/>
              <w:ind w:right="108" w:firstLine="0"/>
              <w:jc w:val="right"/>
              <w:rPr>
                <w:sz w:val="18"/>
                <w:szCs w:val="18"/>
              </w:rPr>
            </w:pPr>
            <w:r w:rsidRPr="00ED28D1">
              <w:rPr>
                <w:color w:val="000000"/>
                <w:sz w:val="18"/>
                <w:szCs w:val="18"/>
              </w:rPr>
              <w:t>6,69</w:t>
            </w:r>
          </w:p>
        </w:tc>
        <w:tc>
          <w:tcPr>
            <w:tcW w:w="778" w:type="dxa"/>
          </w:tcPr>
          <w:p w14:paraId="5A35F9B8" w14:textId="1BB9F823" w:rsidR="00ED28D1" w:rsidRPr="00ED28D1" w:rsidRDefault="00ED28D1" w:rsidP="005B2376">
            <w:pPr>
              <w:spacing w:before="0" w:after="0" w:line="276" w:lineRule="auto"/>
              <w:ind w:right="108" w:firstLine="0"/>
              <w:jc w:val="right"/>
              <w:rPr>
                <w:sz w:val="18"/>
                <w:szCs w:val="18"/>
              </w:rPr>
            </w:pPr>
            <w:r w:rsidRPr="00ED28D1">
              <w:rPr>
                <w:color w:val="000000"/>
                <w:sz w:val="18"/>
                <w:szCs w:val="18"/>
              </w:rPr>
              <w:t>1,10</w:t>
            </w:r>
          </w:p>
        </w:tc>
        <w:tc>
          <w:tcPr>
            <w:tcW w:w="778" w:type="dxa"/>
          </w:tcPr>
          <w:p w14:paraId="4F4A31AC" w14:textId="60BCBCDB" w:rsidR="00ED28D1" w:rsidRPr="00302665" w:rsidRDefault="00AD2912" w:rsidP="005B2376">
            <w:pPr>
              <w:spacing w:before="0" w:after="0" w:line="276" w:lineRule="auto"/>
              <w:ind w:right="108" w:firstLine="0"/>
              <w:jc w:val="right"/>
              <w:rPr>
                <w:color w:val="000000"/>
                <w:sz w:val="18"/>
                <w:szCs w:val="18"/>
                <w:highlight w:val="yellow"/>
              </w:rPr>
            </w:pPr>
            <w:r w:rsidRPr="00302665">
              <w:rPr>
                <w:color w:val="000000"/>
                <w:sz w:val="18"/>
                <w:szCs w:val="18"/>
                <w:highlight w:val="yellow"/>
              </w:rPr>
              <w:t>5,07</w:t>
            </w:r>
            <w:r w:rsidR="00A2469A">
              <w:rPr>
                <w:b/>
                <w:bCs/>
                <w:color w:val="000000"/>
                <w:sz w:val="18"/>
                <w:szCs w:val="18"/>
                <w:highlight w:val="yellow"/>
                <w:vertAlign w:val="superscript"/>
              </w:rPr>
              <w:t>*</w:t>
            </w:r>
          </w:p>
        </w:tc>
      </w:tr>
      <w:tr w:rsidR="00AD2912" w:rsidRPr="00ED28D1" w14:paraId="019D7B64" w14:textId="6C60660E" w:rsidTr="00AD2912">
        <w:trPr>
          <w:trHeight w:val="298"/>
        </w:trPr>
        <w:tc>
          <w:tcPr>
            <w:tcW w:w="282" w:type="dxa"/>
            <w:vAlign w:val="bottom"/>
          </w:tcPr>
          <w:p w14:paraId="6C926E10" w14:textId="48712311" w:rsidR="00ED28D1" w:rsidRPr="00ED28D1" w:rsidRDefault="00ED28D1" w:rsidP="005B2376">
            <w:pPr>
              <w:spacing w:before="0" w:after="0" w:line="276" w:lineRule="auto"/>
              <w:ind w:firstLine="0"/>
              <w:rPr>
                <w:sz w:val="18"/>
                <w:szCs w:val="18"/>
              </w:rPr>
            </w:pPr>
            <w:r w:rsidRPr="00ED28D1">
              <w:rPr>
                <w:color w:val="000000"/>
                <w:sz w:val="18"/>
                <w:szCs w:val="18"/>
              </w:rPr>
              <w:t>3</w:t>
            </w:r>
          </w:p>
        </w:tc>
        <w:tc>
          <w:tcPr>
            <w:tcW w:w="1273" w:type="dxa"/>
            <w:vAlign w:val="bottom"/>
          </w:tcPr>
          <w:p w14:paraId="48955532" w14:textId="375B208A" w:rsidR="00ED28D1" w:rsidRPr="00ED28D1" w:rsidRDefault="00ED28D1" w:rsidP="005B2376">
            <w:pPr>
              <w:spacing w:before="0" w:after="0" w:line="276" w:lineRule="auto"/>
              <w:ind w:firstLine="0"/>
              <w:rPr>
                <w:sz w:val="18"/>
                <w:szCs w:val="18"/>
              </w:rPr>
            </w:pPr>
            <w:r w:rsidRPr="00ED28D1">
              <w:rPr>
                <w:color w:val="000000"/>
                <w:sz w:val="18"/>
                <w:szCs w:val="18"/>
              </w:rPr>
              <w:t>Carton</w:t>
            </w:r>
          </w:p>
        </w:tc>
        <w:tc>
          <w:tcPr>
            <w:tcW w:w="778" w:type="dxa"/>
            <w:vAlign w:val="bottom"/>
          </w:tcPr>
          <w:p w14:paraId="23F242E5" w14:textId="3DFC0E0C" w:rsidR="00ED28D1" w:rsidRPr="00ED28D1" w:rsidRDefault="00ED28D1" w:rsidP="005B2376">
            <w:pPr>
              <w:spacing w:before="0" w:after="0" w:line="276" w:lineRule="auto"/>
              <w:ind w:right="108" w:firstLine="0"/>
              <w:jc w:val="right"/>
              <w:rPr>
                <w:sz w:val="18"/>
                <w:szCs w:val="18"/>
              </w:rPr>
            </w:pPr>
            <w:r w:rsidRPr="00ED28D1">
              <w:rPr>
                <w:color w:val="000000"/>
                <w:sz w:val="18"/>
                <w:szCs w:val="18"/>
              </w:rPr>
              <w:t>5,77</w:t>
            </w:r>
          </w:p>
        </w:tc>
        <w:tc>
          <w:tcPr>
            <w:tcW w:w="778" w:type="dxa"/>
            <w:vAlign w:val="bottom"/>
          </w:tcPr>
          <w:p w14:paraId="1FFD1BF7" w14:textId="09B3B9E1" w:rsidR="00ED28D1" w:rsidRPr="00ED28D1" w:rsidRDefault="00ED28D1" w:rsidP="005B2376">
            <w:pPr>
              <w:spacing w:before="0" w:after="0" w:line="276" w:lineRule="auto"/>
              <w:ind w:right="108" w:firstLine="0"/>
              <w:jc w:val="right"/>
              <w:rPr>
                <w:sz w:val="18"/>
                <w:szCs w:val="18"/>
              </w:rPr>
            </w:pPr>
            <w:r w:rsidRPr="00ED28D1">
              <w:rPr>
                <w:color w:val="000000"/>
                <w:sz w:val="18"/>
                <w:szCs w:val="18"/>
              </w:rPr>
              <w:t>3,29</w:t>
            </w:r>
          </w:p>
        </w:tc>
        <w:tc>
          <w:tcPr>
            <w:tcW w:w="778" w:type="dxa"/>
          </w:tcPr>
          <w:p w14:paraId="4C26A53A" w14:textId="4EEEA635" w:rsidR="00ED28D1" w:rsidRPr="00ED28D1" w:rsidRDefault="00ED28D1" w:rsidP="005B2376">
            <w:pPr>
              <w:spacing w:before="0" w:after="0" w:line="276" w:lineRule="auto"/>
              <w:ind w:right="108" w:firstLine="0"/>
              <w:jc w:val="right"/>
              <w:rPr>
                <w:sz w:val="18"/>
                <w:szCs w:val="18"/>
              </w:rPr>
            </w:pPr>
            <w:r w:rsidRPr="00ED28D1">
              <w:rPr>
                <w:color w:val="000000"/>
                <w:sz w:val="18"/>
                <w:szCs w:val="18"/>
              </w:rPr>
              <w:t>0,30</w:t>
            </w:r>
          </w:p>
        </w:tc>
        <w:tc>
          <w:tcPr>
            <w:tcW w:w="778" w:type="dxa"/>
          </w:tcPr>
          <w:p w14:paraId="4938075E" w14:textId="537DB9CB" w:rsidR="00ED28D1" w:rsidRPr="00302665" w:rsidRDefault="00302665" w:rsidP="005B2376">
            <w:pPr>
              <w:spacing w:before="0" w:after="0" w:line="276" w:lineRule="auto"/>
              <w:ind w:right="108" w:firstLine="0"/>
              <w:jc w:val="right"/>
              <w:rPr>
                <w:color w:val="000000"/>
                <w:sz w:val="18"/>
                <w:szCs w:val="18"/>
                <w:highlight w:val="yellow"/>
              </w:rPr>
            </w:pPr>
            <w:r w:rsidRPr="00302665">
              <w:rPr>
                <w:color w:val="000000"/>
                <w:sz w:val="18"/>
                <w:szCs w:val="18"/>
                <w:highlight w:val="yellow"/>
              </w:rPr>
              <w:t>-</w:t>
            </w:r>
          </w:p>
        </w:tc>
      </w:tr>
      <w:tr w:rsidR="00AD2912" w:rsidRPr="00ED28D1" w14:paraId="68C27D10" w14:textId="057F8ABA" w:rsidTr="00AD2912">
        <w:trPr>
          <w:trHeight w:val="281"/>
        </w:trPr>
        <w:tc>
          <w:tcPr>
            <w:tcW w:w="282" w:type="dxa"/>
            <w:vAlign w:val="bottom"/>
          </w:tcPr>
          <w:p w14:paraId="11934C3A" w14:textId="346B254F" w:rsidR="00ED28D1" w:rsidRPr="00ED28D1" w:rsidRDefault="00ED28D1" w:rsidP="005B2376">
            <w:pPr>
              <w:spacing w:before="0" w:after="0" w:line="276" w:lineRule="auto"/>
              <w:ind w:firstLine="0"/>
              <w:rPr>
                <w:sz w:val="18"/>
                <w:szCs w:val="18"/>
              </w:rPr>
            </w:pPr>
            <w:r w:rsidRPr="00ED28D1">
              <w:rPr>
                <w:color w:val="000000"/>
                <w:sz w:val="18"/>
                <w:szCs w:val="18"/>
              </w:rPr>
              <w:t>4</w:t>
            </w:r>
          </w:p>
        </w:tc>
        <w:tc>
          <w:tcPr>
            <w:tcW w:w="1273" w:type="dxa"/>
            <w:vAlign w:val="bottom"/>
          </w:tcPr>
          <w:p w14:paraId="5ADFF695" w14:textId="0D830A50" w:rsidR="00ED28D1" w:rsidRPr="00ED28D1" w:rsidRDefault="00ED28D1" w:rsidP="005B2376">
            <w:pPr>
              <w:spacing w:before="0" w:after="0" w:line="276" w:lineRule="auto"/>
              <w:ind w:firstLine="0"/>
              <w:rPr>
                <w:sz w:val="18"/>
                <w:szCs w:val="18"/>
              </w:rPr>
            </w:pPr>
            <w:r w:rsidRPr="00ED28D1">
              <w:rPr>
                <w:color w:val="000000"/>
                <w:sz w:val="18"/>
                <w:szCs w:val="18"/>
              </w:rPr>
              <w:t>Nhựa</w:t>
            </w:r>
          </w:p>
        </w:tc>
        <w:tc>
          <w:tcPr>
            <w:tcW w:w="778" w:type="dxa"/>
            <w:vAlign w:val="bottom"/>
          </w:tcPr>
          <w:p w14:paraId="5D03893B" w14:textId="772F64E5" w:rsidR="00ED28D1" w:rsidRPr="00ED28D1" w:rsidRDefault="00ED28D1" w:rsidP="005B2376">
            <w:pPr>
              <w:spacing w:before="0" w:after="0" w:line="276" w:lineRule="auto"/>
              <w:ind w:right="108" w:firstLine="0"/>
              <w:jc w:val="right"/>
              <w:rPr>
                <w:sz w:val="18"/>
                <w:szCs w:val="18"/>
              </w:rPr>
            </w:pPr>
            <w:r w:rsidRPr="00ED28D1">
              <w:rPr>
                <w:color w:val="000000"/>
                <w:sz w:val="18"/>
                <w:szCs w:val="18"/>
              </w:rPr>
              <w:t>18,35</w:t>
            </w:r>
          </w:p>
        </w:tc>
        <w:tc>
          <w:tcPr>
            <w:tcW w:w="778" w:type="dxa"/>
            <w:vAlign w:val="bottom"/>
          </w:tcPr>
          <w:p w14:paraId="6BB48F85" w14:textId="703E8A1E" w:rsidR="00ED28D1" w:rsidRPr="00ED28D1" w:rsidRDefault="00ED28D1" w:rsidP="005B2376">
            <w:pPr>
              <w:spacing w:before="0" w:after="0" w:line="276" w:lineRule="auto"/>
              <w:ind w:right="108" w:firstLine="0"/>
              <w:jc w:val="right"/>
              <w:rPr>
                <w:sz w:val="18"/>
                <w:szCs w:val="18"/>
              </w:rPr>
            </w:pPr>
            <w:r w:rsidRPr="00ED28D1">
              <w:rPr>
                <w:color w:val="000000"/>
                <w:sz w:val="18"/>
                <w:szCs w:val="18"/>
              </w:rPr>
              <w:t>13,19</w:t>
            </w:r>
          </w:p>
        </w:tc>
        <w:tc>
          <w:tcPr>
            <w:tcW w:w="778" w:type="dxa"/>
          </w:tcPr>
          <w:p w14:paraId="08F2E186" w14:textId="2A459484" w:rsidR="00ED28D1" w:rsidRPr="00ED28D1" w:rsidRDefault="00ED28D1" w:rsidP="005B2376">
            <w:pPr>
              <w:spacing w:before="0" w:after="0" w:line="276" w:lineRule="auto"/>
              <w:ind w:right="108" w:firstLine="0"/>
              <w:jc w:val="right"/>
              <w:rPr>
                <w:sz w:val="18"/>
                <w:szCs w:val="18"/>
              </w:rPr>
            </w:pPr>
            <w:r w:rsidRPr="00ED28D1">
              <w:rPr>
                <w:color w:val="000000"/>
                <w:sz w:val="18"/>
                <w:szCs w:val="18"/>
              </w:rPr>
              <w:t>11,20</w:t>
            </w:r>
          </w:p>
        </w:tc>
        <w:tc>
          <w:tcPr>
            <w:tcW w:w="778" w:type="dxa"/>
          </w:tcPr>
          <w:p w14:paraId="08F9B26D" w14:textId="194D7258" w:rsidR="00ED28D1" w:rsidRPr="00302665" w:rsidRDefault="00AD2912" w:rsidP="005B2376">
            <w:pPr>
              <w:spacing w:before="0" w:after="0" w:line="276" w:lineRule="auto"/>
              <w:ind w:right="108" w:firstLine="0"/>
              <w:jc w:val="right"/>
              <w:rPr>
                <w:color w:val="000000"/>
                <w:sz w:val="18"/>
                <w:szCs w:val="18"/>
                <w:highlight w:val="yellow"/>
              </w:rPr>
            </w:pPr>
            <w:r w:rsidRPr="00302665">
              <w:rPr>
                <w:color w:val="000000"/>
                <w:sz w:val="18"/>
                <w:szCs w:val="18"/>
                <w:highlight w:val="yellow"/>
              </w:rPr>
              <w:t>11,36</w:t>
            </w:r>
            <w:r w:rsidR="00A2469A">
              <w:rPr>
                <w:b/>
                <w:bCs/>
                <w:color w:val="000000"/>
                <w:sz w:val="18"/>
                <w:szCs w:val="18"/>
                <w:highlight w:val="yellow"/>
                <w:vertAlign w:val="superscript"/>
              </w:rPr>
              <w:t>*</w:t>
            </w:r>
          </w:p>
        </w:tc>
      </w:tr>
      <w:tr w:rsidR="00AD2912" w:rsidRPr="00ED28D1" w14:paraId="14097879" w14:textId="6E3EC38E" w:rsidTr="00AD2912">
        <w:trPr>
          <w:trHeight w:val="272"/>
        </w:trPr>
        <w:tc>
          <w:tcPr>
            <w:tcW w:w="282" w:type="dxa"/>
            <w:vAlign w:val="bottom"/>
          </w:tcPr>
          <w:p w14:paraId="0844AF2D" w14:textId="4A5F49EB" w:rsidR="00ED28D1" w:rsidRPr="00ED28D1" w:rsidRDefault="00ED28D1" w:rsidP="005B2376">
            <w:pPr>
              <w:spacing w:before="0" w:after="0" w:line="276" w:lineRule="auto"/>
              <w:ind w:firstLine="0"/>
              <w:rPr>
                <w:sz w:val="18"/>
                <w:szCs w:val="18"/>
              </w:rPr>
            </w:pPr>
            <w:r w:rsidRPr="00ED28D1">
              <w:rPr>
                <w:color w:val="000000"/>
                <w:sz w:val="18"/>
                <w:szCs w:val="18"/>
              </w:rPr>
              <w:t>5</w:t>
            </w:r>
          </w:p>
        </w:tc>
        <w:tc>
          <w:tcPr>
            <w:tcW w:w="1273" w:type="dxa"/>
            <w:vAlign w:val="bottom"/>
          </w:tcPr>
          <w:p w14:paraId="4E00F517" w14:textId="44A39E87" w:rsidR="00ED28D1" w:rsidRPr="00ED28D1" w:rsidRDefault="00ED28D1" w:rsidP="005B2376">
            <w:pPr>
              <w:spacing w:before="0" w:after="0" w:line="276" w:lineRule="auto"/>
              <w:ind w:firstLine="0"/>
              <w:rPr>
                <w:sz w:val="18"/>
                <w:szCs w:val="18"/>
              </w:rPr>
            </w:pPr>
            <w:r w:rsidRPr="00ED28D1">
              <w:rPr>
                <w:color w:val="000000"/>
                <w:sz w:val="18"/>
                <w:szCs w:val="18"/>
              </w:rPr>
              <w:t>Vải sợi</w:t>
            </w:r>
          </w:p>
        </w:tc>
        <w:tc>
          <w:tcPr>
            <w:tcW w:w="778" w:type="dxa"/>
            <w:vAlign w:val="bottom"/>
          </w:tcPr>
          <w:p w14:paraId="15C73F7C" w14:textId="540578EF" w:rsidR="00ED28D1" w:rsidRPr="00ED28D1" w:rsidRDefault="00ED28D1" w:rsidP="005B2376">
            <w:pPr>
              <w:spacing w:before="0" w:after="0" w:line="276" w:lineRule="auto"/>
              <w:ind w:right="108" w:firstLine="0"/>
              <w:jc w:val="right"/>
              <w:rPr>
                <w:sz w:val="18"/>
                <w:szCs w:val="18"/>
              </w:rPr>
            </w:pPr>
            <w:r w:rsidRPr="00ED28D1">
              <w:rPr>
                <w:color w:val="000000"/>
                <w:sz w:val="18"/>
                <w:szCs w:val="18"/>
              </w:rPr>
              <w:t>0,57</w:t>
            </w:r>
          </w:p>
        </w:tc>
        <w:tc>
          <w:tcPr>
            <w:tcW w:w="778" w:type="dxa"/>
            <w:vAlign w:val="bottom"/>
          </w:tcPr>
          <w:p w14:paraId="17DB4081" w14:textId="70FD4522" w:rsidR="00ED28D1" w:rsidRPr="00ED28D1" w:rsidRDefault="00ED28D1" w:rsidP="005B2376">
            <w:pPr>
              <w:spacing w:before="0" w:after="0" w:line="276" w:lineRule="auto"/>
              <w:ind w:right="108" w:firstLine="0"/>
              <w:jc w:val="right"/>
              <w:rPr>
                <w:sz w:val="18"/>
                <w:szCs w:val="18"/>
              </w:rPr>
            </w:pPr>
            <w:r w:rsidRPr="00ED28D1">
              <w:rPr>
                <w:color w:val="000000"/>
                <w:sz w:val="18"/>
                <w:szCs w:val="18"/>
              </w:rPr>
              <w:t>7,51</w:t>
            </w:r>
          </w:p>
        </w:tc>
        <w:tc>
          <w:tcPr>
            <w:tcW w:w="778" w:type="dxa"/>
          </w:tcPr>
          <w:p w14:paraId="51466124" w14:textId="3F52212A" w:rsidR="00ED28D1" w:rsidRPr="00ED28D1" w:rsidRDefault="00ED28D1" w:rsidP="005B2376">
            <w:pPr>
              <w:spacing w:before="0" w:after="0" w:line="276" w:lineRule="auto"/>
              <w:ind w:right="108" w:firstLine="0"/>
              <w:jc w:val="right"/>
              <w:rPr>
                <w:sz w:val="18"/>
                <w:szCs w:val="18"/>
              </w:rPr>
            </w:pPr>
            <w:r w:rsidRPr="00ED28D1">
              <w:rPr>
                <w:color w:val="000000"/>
                <w:sz w:val="18"/>
                <w:szCs w:val="18"/>
              </w:rPr>
              <w:t>2,60</w:t>
            </w:r>
          </w:p>
        </w:tc>
        <w:tc>
          <w:tcPr>
            <w:tcW w:w="778" w:type="dxa"/>
          </w:tcPr>
          <w:p w14:paraId="78E1151F" w14:textId="4B286C64" w:rsidR="00ED28D1" w:rsidRPr="00302665" w:rsidRDefault="00AD2912" w:rsidP="005B2376">
            <w:pPr>
              <w:spacing w:before="0" w:after="0" w:line="276" w:lineRule="auto"/>
              <w:ind w:right="108" w:firstLine="0"/>
              <w:jc w:val="right"/>
              <w:rPr>
                <w:color w:val="000000"/>
                <w:sz w:val="18"/>
                <w:szCs w:val="18"/>
                <w:highlight w:val="yellow"/>
              </w:rPr>
            </w:pPr>
            <w:r w:rsidRPr="00302665">
              <w:rPr>
                <w:color w:val="000000"/>
                <w:sz w:val="18"/>
                <w:szCs w:val="18"/>
                <w:highlight w:val="yellow"/>
              </w:rPr>
              <w:t>1,55</w:t>
            </w:r>
            <w:r w:rsidR="00A2469A">
              <w:rPr>
                <w:b/>
                <w:bCs/>
                <w:color w:val="000000"/>
                <w:sz w:val="18"/>
                <w:szCs w:val="18"/>
                <w:highlight w:val="yellow"/>
                <w:vertAlign w:val="superscript"/>
              </w:rPr>
              <w:t>*</w:t>
            </w:r>
          </w:p>
        </w:tc>
      </w:tr>
      <w:tr w:rsidR="00AD2912" w:rsidRPr="00ED28D1" w14:paraId="5CCB8B17" w14:textId="6DF42DE3" w:rsidTr="00AD2912">
        <w:trPr>
          <w:trHeight w:val="272"/>
        </w:trPr>
        <w:tc>
          <w:tcPr>
            <w:tcW w:w="282" w:type="dxa"/>
            <w:vAlign w:val="bottom"/>
          </w:tcPr>
          <w:p w14:paraId="4A5F7DFE" w14:textId="4CCF0CD1" w:rsidR="00AD2912" w:rsidRPr="00ED28D1" w:rsidRDefault="00AD2912" w:rsidP="005B2376">
            <w:pPr>
              <w:spacing w:before="0" w:after="0" w:line="276" w:lineRule="auto"/>
              <w:ind w:firstLine="0"/>
              <w:rPr>
                <w:sz w:val="18"/>
                <w:szCs w:val="18"/>
              </w:rPr>
            </w:pPr>
            <w:r w:rsidRPr="00ED28D1">
              <w:rPr>
                <w:color w:val="000000"/>
                <w:sz w:val="18"/>
                <w:szCs w:val="18"/>
              </w:rPr>
              <w:t>6</w:t>
            </w:r>
          </w:p>
        </w:tc>
        <w:tc>
          <w:tcPr>
            <w:tcW w:w="1273" w:type="dxa"/>
            <w:vAlign w:val="bottom"/>
          </w:tcPr>
          <w:p w14:paraId="4C71506A" w14:textId="3E2B8F7C" w:rsidR="00AD2912" w:rsidRPr="00ED28D1" w:rsidRDefault="00AD2912" w:rsidP="005B2376">
            <w:pPr>
              <w:spacing w:before="0" w:after="0" w:line="276" w:lineRule="auto"/>
              <w:ind w:firstLine="0"/>
              <w:rPr>
                <w:sz w:val="18"/>
                <w:szCs w:val="18"/>
              </w:rPr>
            </w:pPr>
            <w:r w:rsidRPr="00ED28D1">
              <w:rPr>
                <w:color w:val="000000"/>
                <w:sz w:val="18"/>
                <w:szCs w:val="18"/>
              </w:rPr>
              <w:t>Cao su</w:t>
            </w:r>
          </w:p>
        </w:tc>
        <w:tc>
          <w:tcPr>
            <w:tcW w:w="778" w:type="dxa"/>
            <w:vAlign w:val="bottom"/>
          </w:tcPr>
          <w:p w14:paraId="3226D5DD" w14:textId="282C4E8E" w:rsidR="00AD2912" w:rsidRPr="00ED28D1" w:rsidRDefault="00AD2912" w:rsidP="005B2376">
            <w:pPr>
              <w:spacing w:before="0" w:after="0" w:line="276" w:lineRule="auto"/>
              <w:ind w:right="108" w:firstLine="0"/>
              <w:jc w:val="right"/>
              <w:rPr>
                <w:sz w:val="18"/>
                <w:szCs w:val="18"/>
              </w:rPr>
            </w:pPr>
            <w:r w:rsidRPr="00ED28D1">
              <w:rPr>
                <w:color w:val="000000"/>
                <w:sz w:val="18"/>
                <w:szCs w:val="18"/>
              </w:rPr>
              <w:t>0,63</w:t>
            </w:r>
          </w:p>
        </w:tc>
        <w:tc>
          <w:tcPr>
            <w:tcW w:w="778" w:type="dxa"/>
            <w:vAlign w:val="bottom"/>
          </w:tcPr>
          <w:p w14:paraId="16E75395" w14:textId="46CE7481" w:rsidR="00AD2912" w:rsidRPr="00ED28D1" w:rsidRDefault="00AD2912" w:rsidP="005B2376">
            <w:pPr>
              <w:spacing w:before="0" w:after="0" w:line="276" w:lineRule="auto"/>
              <w:ind w:right="108" w:firstLine="0"/>
              <w:jc w:val="right"/>
              <w:rPr>
                <w:sz w:val="18"/>
                <w:szCs w:val="18"/>
              </w:rPr>
            </w:pPr>
            <w:r w:rsidRPr="00ED28D1">
              <w:rPr>
                <w:color w:val="000000"/>
                <w:sz w:val="18"/>
                <w:szCs w:val="18"/>
              </w:rPr>
              <w:t>0,55</w:t>
            </w:r>
          </w:p>
        </w:tc>
        <w:tc>
          <w:tcPr>
            <w:tcW w:w="778" w:type="dxa"/>
          </w:tcPr>
          <w:p w14:paraId="437E3BDE" w14:textId="7958474F" w:rsidR="00AD2912" w:rsidRPr="00ED28D1" w:rsidRDefault="00AD2912" w:rsidP="005B2376">
            <w:pPr>
              <w:spacing w:before="0" w:after="0" w:line="276" w:lineRule="auto"/>
              <w:ind w:right="108" w:firstLine="0"/>
              <w:jc w:val="right"/>
              <w:rPr>
                <w:sz w:val="18"/>
                <w:szCs w:val="18"/>
              </w:rPr>
            </w:pPr>
            <w:r w:rsidRPr="00ED28D1">
              <w:rPr>
                <w:color w:val="000000"/>
                <w:sz w:val="18"/>
                <w:szCs w:val="18"/>
              </w:rPr>
              <w:t>0,40</w:t>
            </w:r>
          </w:p>
        </w:tc>
        <w:tc>
          <w:tcPr>
            <w:tcW w:w="778" w:type="dxa"/>
            <w:vMerge w:val="restart"/>
            <w:vAlign w:val="center"/>
          </w:tcPr>
          <w:p w14:paraId="4B913F65" w14:textId="68D30AAC" w:rsidR="00AD2912" w:rsidRPr="00302665" w:rsidRDefault="00AD2912" w:rsidP="00AD2912">
            <w:pPr>
              <w:spacing w:before="0" w:after="0" w:line="276" w:lineRule="auto"/>
              <w:ind w:right="108" w:firstLine="0"/>
              <w:jc w:val="right"/>
              <w:rPr>
                <w:color w:val="000000"/>
                <w:sz w:val="18"/>
                <w:szCs w:val="18"/>
                <w:highlight w:val="yellow"/>
              </w:rPr>
            </w:pPr>
            <w:r w:rsidRPr="00302665">
              <w:rPr>
                <w:color w:val="000000"/>
                <w:sz w:val="18"/>
                <w:szCs w:val="18"/>
                <w:highlight w:val="yellow"/>
              </w:rPr>
              <w:t>0,23</w:t>
            </w:r>
            <w:r w:rsidR="00A2469A">
              <w:rPr>
                <w:b/>
                <w:bCs/>
                <w:color w:val="000000"/>
                <w:sz w:val="18"/>
                <w:szCs w:val="18"/>
                <w:highlight w:val="yellow"/>
                <w:vertAlign w:val="superscript"/>
              </w:rPr>
              <w:t>*</w:t>
            </w:r>
          </w:p>
        </w:tc>
      </w:tr>
      <w:tr w:rsidR="00AD2912" w:rsidRPr="00ED28D1" w14:paraId="5A026482" w14:textId="1E39EF1E" w:rsidTr="00AD2912">
        <w:trPr>
          <w:trHeight w:val="272"/>
        </w:trPr>
        <w:tc>
          <w:tcPr>
            <w:tcW w:w="282" w:type="dxa"/>
            <w:vAlign w:val="bottom"/>
          </w:tcPr>
          <w:p w14:paraId="07A3CA39" w14:textId="4AB4A8B8" w:rsidR="00AD2912" w:rsidRPr="00ED28D1" w:rsidRDefault="00AD2912" w:rsidP="005B2376">
            <w:pPr>
              <w:spacing w:before="0" w:after="0" w:line="276" w:lineRule="auto"/>
              <w:ind w:firstLine="0"/>
              <w:rPr>
                <w:sz w:val="18"/>
                <w:szCs w:val="18"/>
              </w:rPr>
            </w:pPr>
            <w:r w:rsidRPr="00ED28D1">
              <w:rPr>
                <w:color w:val="000000"/>
                <w:sz w:val="18"/>
                <w:szCs w:val="18"/>
              </w:rPr>
              <w:t>7</w:t>
            </w:r>
          </w:p>
        </w:tc>
        <w:tc>
          <w:tcPr>
            <w:tcW w:w="1273" w:type="dxa"/>
            <w:vAlign w:val="bottom"/>
          </w:tcPr>
          <w:p w14:paraId="3191B085" w14:textId="0FB980F9" w:rsidR="00AD2912" w:rsidRPr="00ED28D1" w:rsidRDefault="00AD2912" w:rsidP="005B2376">
            <w:pPr>
              <w:spacing w:before="0" w:after="0" w:line="276" w:lineRule="auto"/>
              <w:ind w:firstLine="0"/>
              <w:rPr>
                <w:sz w:val="18"/>
                <w:szCs w:val="18"/>
              </w:rPr>
            </w:pPr>
            <w:r w:rsidRPr="00ED28D1">
              <w:rPr>
                <w:color w:val="000000"/>
                <w:sz w:val="18"/>
                <w:szCs w:val="18"/>
              </w:rPr>
              <w:t>Da</w:t>
            </w:r>
          </w:p>
        </w:tc>
        <w:tc>
          <w:tcPr>
            <w:tcW w:w="778" w:type="dxa"/>
            <w:vAlign w:val="bottom"/>
          </w:tcPr>
          <w:p w14:paraId="3D2DA08E" w14:textId="5A959A09" w:rsidR="00AD2912" w:rsidRPr="00ED28D1" w:rsidRDefault="00AD2912" w:rsidP="005B2376">
            <w:pPr>
              <w:spacing w:before="0" w:after="0" w:line="276" w:lineRule="auto"/>
              <w:ind w:right="108" w:firstLine="0"/>
              <w:jc w:val="right"/>
              <w:rPr>
                <w:sz w:val="18"/>
                <w:szCs w:val="18"/>
              </w:rPr>
            </w:pPr>
            <w:r w:rsidRPr="00ED28D1">
              <w:rPr>
                <w:color w:val="000000"/>
                <w:sz w:val="18"/>
                <w:szCs w:val="18"/>
              </w:rPr>
              <w:t>0,27</w:t>
            </w:r>
          </w:p>
        </w:tc>
        <w:tc>
          <w:tcPr>
            <w:tcW w:w="778" w:type="dxa"/>
            <w:vAlign w:val="bottom"/>
          </w:tcPr>
          <w:p w14:paraId="1A7530F1" w14:textId="38433359" w:rsidR="00AD2912" w:rsidRPr="00ED28D1" w:rsidRDefault="00AD2912" w:rsidP="005B2376">
            <w:pPr>
              <w:spacing w:before="0" w:after="0" w:line="276" w:lineRule="auto"/>
              <w:ind w:right="108" w:firstLine="0"/>
              <w:jc w:val="right"/>
              <w:rPr>
                <w:sz w:val="18"/>
                <w:szCs w:val="18"/>
              </w:rPr>
            </w:pPr>
            <w:r w:rsidRPr="00ED28D1">
              <w:rPr>
                <w:color w:val="000000"/>
                <w:sz w:val="18"/>
                <w:szCs w:val="18"/>
              </w:rPr>
              <w:t>0,14</w:t>
            </w:r>
          </w:p>
        </w:tc>
        <w:tc>
          <w:tcPr>
            <w:tcW w:w="778" w:type="dxa"/>
          </w:tcPr>
          <w:p w14:paraId="1CE360B9" w14:textId="05159C47" w:rsidR="00AD2912" w:rsidRPr="00ED28D1" w:rsidRDefault="00AD2912" w:rsidP="005B2376">
            <w:pPr>
              <w:spacing w:before="0" w:after="0" w:line="276" w:lineRule="auto"/>
              <w:ind w:right="108" w:firstLine="0"/>
              <w:jc w:val="right"/>
              <w:rPr>
                <w:sz w:val="18"/>
                <w:szCs w:val="18"/>
              </w:rPr>
            </w:pPr>
            <w:r w:rsidRPr="00ED28D1">
              <w:rPr>
                <w:color w:val="000000"/>
                <w:sz w:val="18"/>
                <w:szCs w:val="18"/>
              </w:rPr>
              <w:t>0,00</w:t>
            </w:r>
          </w:p>
        </w:tc>
        <w:tc>
          <w:tcPr>
            <w:tcW w:w="778" w:type="dxa"/>
            <w:vMerge/>
          </w:tcPr>
          <w:p w14:paraId="2F971B2E" w14:textId="77777777" w:rsidR="00AD2912" w:rsidRPr="00302665" w:rsidRDefault="00AD2912" w:rsidP="005B2376">
            <w:pPr>
              <w:spacing w:before="0" w:after="0" w:line="276" w:lineRule="auto"/>
              <w:ind w:right="108" w:firstLine="0"/>
              <w:jc w:val="right"/>
              <w:rPr>
                <w:color w:val="000000"/>
                <w:sz w:val="18"/>
                <w:szCs w:val="18"/>
                <w:highlight w:val="yellow"/>
              </w:rPr>
            </w:pPr>
          </w:p>
        </w:tc>
      </w:tr>
      <w:tr w:rsidR="00AD2912" w:rsidRPr="00ED28D1" w14:paraId="03AC5AF5" w14:textId="52FA7FEA" w:rsidTr="00AD2912">
        <w:trPr>
          <w:trHeight w:val="272"/>
        </w:trPr>
        <w:tc>
          <w:tcPr>
            <w:tcW w:w="282" w:type="dxa"/>
            <w:vAlign w:val="bottom"/>
          </w:tcPr>
          <w:p w14:paraId="4168B8AD" w14:textId="2918F316" w:rsidR="00ED28D1" w:rsidRPr="00ED28D1" w:rsidRDefault="00ED28D1" w:rsidP="005B2376">
            <w:pPr>
              <w:spacing w:before="0" w:after="0" w:line="276" w:lineRule="auto"/>
              <w:ind w:firstLine="0"/>
              <w:rPr>
                <w:sz w:val="18"/>
                <w:szCs w:val="18"/>
              </w:rPr>
            </w:pPr>
            <w:r w:rsidRPr="00ED28D1">
              <w:rPr>
                <w:color w:val="000000"/>
                <w:sz w:val="18"/>
                <w:szCs w:val="18"/>
              </w:rPr>
              <w:t>8</w:t>
            </w:r>
          </w:p>
        </w:tc>
        <w:tc>
          <w:tcPr>
            <w:tcW w:w="1273" w:type="dxa"/>
            <w:vAlign w:val="bottom"/>
          </w:tcPr>
          <w:p w14:paraId="69819A1D" w14:textId="3D325BAC" w:rsidR="00ED28D1" w:rsidRPr="00ED28D1" w:rsidRDefault="00ED28D1" w:rsidP="005B2376">
            <w:pPr>
              <w:spacing w:before="0" w:after="0" w:line="276" w:lineRule="auto"/>
              <w:ind w:firstLine="0"/>
              <w:rPr>
                <w:sz w:val="18"/>
                <w:szCs w:val="18"/>
              </w:rPr>
            </w:pPr>
            <w:r w:rsidRPr="00ED28D1">
              <w:rPr>
                <w:color w:val="000000"/>
                <w:sz w:val="18"/>
                <w:szCs w:val="18"/>
              </w:rPr>
              <w:t>Gỗ</w:t>
            </w:r>
          </w:p>
        </w:tc>
        <w:tc>
          <w:tcPr>
            <w:tcW w:w="778" w:type="dxa"/>
            <w:vAlign w:val="bottom"/>
          </w:tcPr>
          <w:p w14:paraId="2C023F80" w14:textId="4FF3B6AA" w:rsidR="00ED28D1" w:rsidRPr="00ED28D1" w:rsidRDefault="00ED28D1" w:rsidP="005B2376">
            <w:pPr>
              <w:spacing w:before="0" w:after="0" w:line="276" w:lineRule="auto"/>
              <w:ind w:right="108" w:firstLine="0"/>
              <w:jc w:val="right"/>
              <w:rPr>
                <w:sz w:val="18"/>
                <w:szCs w:val="18"/>
              </w:rPr>
            </w:pPr>
            <w:r w:rsidRPr="00ED28D1">
              <w:rPr>
                <w:color w:val="000000"/>
                <w:sz w:val="18"/>
                <w:szCs w:val="18"/>
              </w:rPr>
              <w:t>0,07</w:t>
            </w:r>
          </w:p>
        </w:tc>
        <w:tc>
          <w:tcPr>
            <w:tcW w:w="778" w:type="dxa"/>
            <w:vAlign w:val="bottom"/>
          </w:tcPr>
          <w:p w14:paraId="6D4AD9BA" w14:textId="53B38826" w:rsidR="00ED28D1" w:rsidRPr="00ED28D1" w:rsidRDefault="00ED28D1" w:rsidP="005B2376">
            <w:pPr>
              <w:spacing w:before="0" w:after="0" w:line="276" w:lineRule="auto"/>
              <w:ind w:right="108" w:firstLine="0"/>
              <w:jc w:val="right"/>
              <w:rPr>
                <w:sz w:val="18"/>
                <w:szCs w:val="18"/>
              </w:rPr>
            </w:pPr>
            <w:r w:rsidRPr="00ED28D1">
              <w:rPr>
                <w:color w:val="000000"/>
                <w:sz w:val="18"/>
                <w:szCs w:val="18"/>
              </w:rPr>
              <w:t>3,44</w:t>
            </w:r>
          </w:p>
        </w:tc>
        <w:tc>
          <w:tcPr>
            <w:tcW w:w="778" w:type="dxa"/>
            <w:vAlign w:val="bottom"/>
          </w:tcPr>
          <w:p w14:paraId="6B8FB8AB" w14:textId="297B0554" w:rsidR="00ED28D1" w:rsidRPr="00ED28D1" w:rsidRDefault="00ED28D1" w:rsidP="005B2376">
            <w:pPr>
              <w:spacing w:before="0" w:after="0" w:line="276" w:lineRule="auto"/>
              <w:ind w:right="108" w:firstLine="0"/>
              <w:jc w:val="right"/>
              <w:rPr>
                <w:sz w:val="18"/>
                <w:szCs w:val="18"/>
              </w:rPr>
            </w:pPr>
            <w:r w:rsidRPr="00ED28D1">
              <w:rPr>
                <w:color w:val="000000"/>
                <w:sz w:val="18"/>
                <w:szCs w:val="18"/>
              </w:rPr>
              <w:t>0,40</w:t>
            </w:r>
          </w:p>
        </w:tc>
        <w:tc>
          <w:tcPr>
            <w:tcW w:w="778" w:type="dxa"/>
          </w:tcPr>
          <w:p w14:paraId="6F0A036E" w14:textId="034D5A3B" w:rsidR="00ED28D1" w:rsidRPr="00302665" w:rsidRDefault="00AD2912" w:rsidP="005B2376">
            <w:pPr>
              <w:spacing w:before="0" w:after="0" w:line="276" w:lineRule="auto"/>
              <w:ind w:right="108" w:firstLine="0"/>
              <w:jc w:val="right"/>
              <w:rPr>
                <w:color w:val="000000"/>
                <w:sz w:val="18"/>
                <w:szCs w:val="18"/>
                <w:highlight w:val="yellow"/>
              </w:rPr>
            </w:pPr>
            <w:r w:rsidRPr="00302665">
              <w:rPr>
                <w:color w:val="000000"/>
                <w:sz w:val="18"/>
                <w:szCs w:val="18"/>
                <w:highlight w:val="yellow"/>
              </w:rPr>
              <w:t>2,79</w:t>
            </w:r>
            <w:r w:rsidR="00A2469A">
              <w:rPr>
                <w:b/>
                <w:bCs/>
                <w:color w:val="000000"/>
                <w:sz w:val="18"/>
                <w:szCs w:val="18"/>
                <w:highlight w:val="yellow"/>
                <w:vertAlign w:val="superscript"/>
              </w:rPr>
              <w:t>*</w:t>
            </w:r>
          </w:p>
        </w:tc>
      </w:tr>
      <w:tr w:rsidR="00AD2912" w:rsidRPr="00ED28D1" w14:paraId="12C7EA78" w14:textId="6E32817A" w:rsidTr="00AD2912">
        <w:trPr>
          <w:trHeight w:val="272"/>
        </w:trPr>
        <w:tc>
          <w:tcPr>
            <w:tcW w:w="282" w:type="dxa"/>
            <w:vAlign w:val="bottom"/>
          </w:tcPr>
          <w:p w14:paraId="01517BD1" w14:textId="6F883417" w:rsidR="00ED28D1" w:rsidRPr="00ED28D1" w:rsidRDefault="00ED28D1" w:rsidP="005B2376">
            <w:pPr>
              <w:spacing w:before="0" w:after="0" w:line="276" w:lineRule="auto"/>
              <w:ind w:firstLine="0"/>
              <w:rPr>
                <w:sz w:val="18"/>
                <w:szCs w:val="18"/>
              </w:rPr>
            </w:pPr>
            <w:r w:rsidRPr="00ED28D1">
              <w:rPr>
                <w:color w:val="000000"/>
                <w:sz w:val="18"/>
                <w:szCs w:val="18"/>
              </w:rPr>
              <w:t>9</w:t>
            </w:r>
          </w:p>
        </w:tc>
        <w:tc>
          <w:tcPr>
            <w:tcW w:w="1273" w:type="dxa"/>
            <w:vAlign w:val="bottom"/>
          </w:tcPr>
          <w:p w14:paraId="2E07C21D" w14:textId="5743489F" w:rsidR="00ED28D1" w:rsidRPr="00ED28D1" w:rsidRDefault="00ED28D1" w:rsidP="005B2376">
            <w:pPr>
              <w:spacing w:before="0" w:after="0" w:line="276" w:lineRule="auto"/>
              <w:ind w:firstLine="0"/>
              <w:rPr>
                <w:sz w:val="18"/>
                <w:szCs w:val="18"/>
              </w:rPr>
            </w:pPr>
            <w:r w:rsidRPr="00ED28D1">
              <w:rPr>
                <w:color w:val="000000"/>
                <w:sz w:val="18"/>
                <w:szCs w:val="18"/>
              </w:rPr>
              <w:t>Thuỷ tinh</w:t>
            </w:r>
          </w:p>
        </w:tc>
        <w:tc>
          <w:tcPr>
            <w:tcW w:w="778" w:type="dxa"/>
            <w:vAlign w:val="bottom"/>
          </w:tcPr>
          <w:p w14:paraId="7AAEAD6C" w14:textId="4B45D5C0" w:rsidR="00ED28D1" w:rsidRPr="00ED28D1" w:rsidRDefault="00ED28D1" w:rsidP="005B2376">
            <w:pPr>
              <w:spacing w:before="0" w:after="0" w:line="276" w:lineRule="auto"/>
              <w:ind w:right="108" w:firstLine="0"/>
              <w:jc w:val="right"/>
              <w:rPr>
                <w:sz w:val="18"/>
                <w:szCs w:val="18"/>
              </w:rPr>
            </w:pPr>
            <w:r w:rsidRPr="00ED28D1">
              <w:rPr>
                <w:color w:val="000000"/>
                <w:sz w:val="18"/>
                <w:szCs w:val="18"/>
              </w:rPr>
              <w:t>6,59</w:t>
            </w:r>
          </w:p>
        </w:tc>
        <w:tc>
          <w:tcPr>
            <w:tcW w:w="778" w:type="dxa"/>
            <w:vAlign w:val="bottom"/>
          </w:tcPr>
          <w:p w14:paraId="1A3FFA3E" w14:textId="5126065C" w:rsidR="00ED28D1" w:rsidRPr="00ED28D1" w:rsidRDefault="00ED28D1" w:rsidP="005B2376">
            <w:pPr>
              <w:spacing w:before="0" w:after="0" w:line="276" w:lineRule="auto"/>
              <w:ind w:right="108" w:firstLine="0"/>
              <w:jc w:val="right"/>
              <w:rPr>
                <w:sz w:val="18"/>
                <w:szCs w:val="18"/>
              </w:rPr>
            </w:pPr>
            <w:r w:rsidRPr="00ED28D1">
              <w:rPr>
                <w:color w:val="000000"/>
                <w:sz w:val="18"/>
                <w:szCs w:val="18"/>
              </w:rPr>
              <w:t>1,25</w:t>
            </w:r>
          </w:p>
        </w:tc>
        <w:tc>
          <w:tcPr>
            <w:tcW w:w="778" w:type="dxa"/>
            <w:vAlign w:val="bottom"/>
          </w:tcPr>
          <w:p w14:paraId="236FCAE8" w14:textId="3ACEC892" w:rsidR="00ED28D1" w:rsidRPr="00ED28D1" w:rsidRDefault="00ED28D1" w:rsidP="005B2376">
            <w:pPr>
              <w:spacing w:before="0" w:after="0" w:line="276" w:lineRule="auto"/>
              <w:ind w:right="108" w:firstLine="0"/>
              <w:jc w:val="right"/>
              <w:rPr>
                <w:sz w:val="18"/>
                <w:szCs w:val="18"/>
              </w:rPr>
            </w:pPr>
            <w:r w:rsidRPr="00ED28D1">
              <w:rPr>
                <w:color w:val="000000"/>
                <w:sz w:val="18"/>
                <w:szCs w:val="18"/>
              </w:rPr>
              <w:t>2,60</w:t>
            </w:r>
          </w:p>
        </w:tc>
        <w:tc>
          <w:tcPr>
            <w:tcW w:w="778" w:type="dxa"/>
          </w:tcPr>
          <w:p w14:paraId="229E2287" w14:textId="498B3292" w:rsidR="00ED28D1" w:rsidRPr="00302665" w:rsidRDefault="00AD2912" w:rsidP="005B2376">
            <w:pPr>
              <w:spacing w:before="0" w:after="0" w:line="276" w:lineRule="auto"/>
              <w:ind w:right="108" w:firstLine="0"/>
              <w:jc w:val="right"/>
              <w:rPr>
                <w:color w:val="000000"/>
                <w:sz w:val="18"/>
                <w:szCs w:val="18"/>
                <w:highlight w:val="yellow"/>
              </w:rPr>
            </w:pPr>
            <w:r w:rsidRPr="00302665">
              <w:rPr>
                <w:color w:val="000000"/>
                <w:sz w:val="18"/>
                <w:szCs w:val="18"/>
                <w:highlight w:val="yellow"/>
              </w:rPr>
              <w:t>0,14</w:t>
            </w:r>
            <w:r w:rsidR="00A2469A">
              <w:rPr>
                <w:b/>
                <w:bCs/>
                <w:color w:val="000000"/>
                <w:sz w:val="18"/>
                <w:szCs w:val="18"/>
                <w:highlight w:val="yellow"/>
                <w:vertAlign w:val="superscript"/>
              </w:rPr>
              <w:t>*</w:t>
            </w:r>
          </w:p>
        </w:tc>
      </w:tr>
      <w:tr w:rsidR="00AD2912" w:rsidRPr="00ED28D1" w14:paraId="1AA49406" w14:textId="279F5C9A" w:rsidTr="00AD2912">
        <w:trPr>
          <w:trHeight w:val="281"/>
        </w:trPr>
        <w:tc>
          <w:tcPr>
            <w:tcW w:w="282" w:type="dxa"/>
            <w:vAlign w:val="bottom"/>
          </w:tcPr>
          <w:p w14:paraId="71916E6A" w14:textId="29F15804" w:rsidR="00ED28D1" w:rsidRPr="00ED28D1" w:rsidRDefault="00ED28D1" w:rsidP="005B2376">
            <w:pPr>
              <w:spacing w:before="0" w:after="0" w:line="276" w:lineRule="auto"/>
              <w:ind w:firstLine="0"/>
              <w:rPr>
                <w:sz w:val="18"/>
                <w:szCs w:val="18"/>
              </w:rPr>
            </w:pPr>
            <w:r w:rsidRPr="00ED28D1">
              <w:rPr>
                <w:color w:val="000000"/>
                <w:sz w:val="18"/>
                <w:szCs w:val="18"/>
              </w:rPr>
              <w:t>10</w:t>
            </w:r>
          </w:p>
        </w:tc>
        <w:tc>
          <w:tcPr>
            <w:tcW w:w="1273" w:type="dxa"/>
            <w:vAlign w:val="bottom"/>
          </w:tcPr>
          <w:p w14:paraId="7345DB08" w14:textId="2ACA562A" w:rsidR="00ED28D1" w:rsidRPr="00ED28D1" w:rsidRDefault="00ED28D1" w:rsidP="005B2376">
            <w:pPr>
              <w:spacing w:before="0" w:after="0" w:line="276" w:lineRule="auto"/>
              <w:ind w:firstLine="0"/>
              <w:rPr>
                <w:sz w:val="18"/>
                <w:szCs w:val="18"/>
              </w:rPr>
            </w:pPr>
            <w:r w:rsidRPr="00ED28D1">
              <w:rPr>
                <w:color w:val="000000"/>
                <w:sz w:val="18"/>
                <w:szCs w:val="18"/>
              </w:rPr>
              <w:t>Kim loại</w:t>
            </w:r>
          </w:p>
        </w:tc>
        <w:tc>
          <w:tcPr>
            <w:tcW w:w="778" w:type="dxa"/>
            <w:vAlign w:val="bottom"/>
          </w:tcPr>
          <w:p w14:paraId="59F0ABEE" w14:textId="2F585264" w:rsidR="00ED28D1" w:rsidRPr="00ED28D1" w:rsidRDefault="00ED28D1" w:rsidP="005B2376">
            <w:pPr>
              <w:spacing w:before="0" w:after="0" w:line="276" w:lineRule="auto"/>
              <w:ind w:right="108" w:firstLine="0"/>
              <w:jc w:val="right"/>
              <w:rPr>
                <w:sz w:val="18"/>
                <w:szCs w:val="18"/>
              </w:rPr>
            </w:pPr>
            <w:r w:rsidRPr="00ED28D1">
              <w:rPr>
                <w:color w:val="000000"/>
                <w:sz w:val="18"/>
                <w:szCs w:val="18"/>
              </w:rPr>
              <w:t>1,55</w:t>
            </w:r>
          </w:p>
        </w:tc>
        <w:tc>
          <w:tcPr>
            <w:tcW w:w="778" w:type="dxa"/>
            <w:vAlign w:val="bottom"/>
          </w:tcPr>
          <w:p w14:paraId="0100A434" w14:textId="6A5D8497" w:rsidR="00ED28D1" w:rsidRPr="00ED28D1" w:rsidRDefault="00ED28D1" w:rsidP="005B2376">
            <w:pPr>
              <w:spacing w:before="0" w:after="0" w:line="276" w:lineRule="auto"/>
              <w:ind w:right="108" w:firstLine="0"/>
              <w:jc w:val="right"/>
              <w:rPr>
                <w:sz w:val="18"/>
                <w:szCs w:val="18"/>
              </w:rPr>
            </w:pPr>
            <w:r w:rsidRPr="00ED28D1">
              <w:rPr>
                <w:color w:val="000000"/>
                <w:sz w:val="18"/>
                <w:szCs w:val="18"/>
              </w:rPr>
              <w:t>0,64</w:t>
            </w:r>
          </w:p>
        </w:tc>
        <w:tc>
          <w:tcPr>
            <w:tcW w:w="778" w:type="dxa"/>
            <w:vAlign w:val="bottom"/>
          </w:tcPr>
          <w:p w14:paraId="10A81119" w14:textId="20B492E3" w:rsidR="00ED28D1" w:rsidRPr="00ED28D1" w:rsidRDefault="00ED28D1" w:rsidP="005B2376">
            <w:pPr>
              <w:spacing w:before="0" w:after="0" w:line="276" w:lineRule="auto"/>
              <w:ind w:right="108" w:firstLine="0"/>
              <w:jc w:val="right"/>
              <w:rPr>
                <w:sz w:val="18"/>
                <w:szCs w:val="18"/>
              </w:rPr>
            </w:pPr>
            <w:r w:rsidRPr="00ED28D1">
              <w:rPr>
                <w:color w:val="000000"/>
                <w:sz w:val="18"/>
                <w:szCs w:val="18"/>
              </w:rPr>
              <w:t>0,50</w:t>
            </w:r>
          </w:p>
        </w:tc>
        <w:tc>
          <w:tcPr>
            <w:tcW w:w="778" w:type="dxa"/>
            <w:vAlign w:val="center"/>
          </w:tcPr>
          <w:p w14:paraId="27B04555" w14:textId="7C1FDA2A" w:rsidR="00ED28D1" w:rsidRPr="00302665" w:rsidRDefault="00AD2912" w:rsidP="00AD2912">
            <w:pPr>
              <w:spacing w:before="0" w:after="0" w:line="276" w:lineRule="auto"/>
              <w:ind w:right="108" w:firstLine="0"/>
              <w:jc w:val="right"/>
              <w:rPr>
                <w:color w:val="000000"/>
                <w:sz w:val="18"/>
                <w:szCs w:val="18"/>
                <w:highlight w:val="yellow"/>
              </w:rPr>
            </w:pPr>
            <w:r w:rsidRPr="00302665">
              <w:rPr>
                <w:color w:val="000000"/>
                <w:sz w:val="18"/>
                <w:szCs w:val="18"/>
                <w:highlight w:val="yellow"/>
              </w:rPr>
              <w:t>1,45</w:t>
            </w:r>
            <w:r w:rsidR="00A2469A">
              <w:rPr>
                <w:b/>
                <w:bCs/>
                <w:color w:val="000000"/>
                <w:sz w:val="18"/>
                <w:szCs w:val="18"/>
                <w:highlight w:val="yellow"/>
                <w:vertAlign w:val="superscript"/>
              </w:rPr>
              <w:t>*</w:t>
            </w:r>
          </w:p>
        </w:tc>
      </w:tr>
      <w:tr w:rsidR="00AD2912" w:rsidRPr="00ED28D1" w14:paraId="2E0F74F8" w14:textId="30608900" w:rsidTr="00AD2912">
        <w:trPr>
          <w:trHeight w:val="272"/>
        </w:trPr>
        <w:tc>
          <w:tcPr>
            <w:tcW w:w="282" w:type="dxa"/>
            <w:vAlign w:val="bottom"/>
          </w:tcPr>
          <w:p w14:paraId="030C6675" w14:textId="4A73D5DF" w:rsidR="00ED28D1" w:rsidRPr="00ED28D1" w:rsidRDefault="00ED28D1" w:rsidP="005B2376">
            <w:pPr>
              <w:spacing w:before="0" w:after="0" w:line="276" w:lineRule="auto"/>
              <w:ind w:firstLine="0"/>
              <w:rPr>
                <w:sz w:val="18"/>
                <w:szCs w:val="18"/>
              </w:rPr>
            </w:pPr>
            <w:r w:rsidRPr="00ED28D1">
              <w:rPr>
                <w:color w:val="000000"/>
                <w:sz w:val="18"/>
                <w:szCs w:val="18"/>
              </w:rPr>
              <w:t>11</w:t>
            </w:r>
          </w:p>
        </w:tc>
        <w:tc>
          <w:tcPr>
            <w:tcW w:w="1273" w:type="dxa"/>
            <w:vAlign w:val="bottom"/>
          </w:tcPr>
          <w:p w14:paraId="0DC34650" w14:textId="2C201EE7" w:rsidR="00ED28D1" w:rsidRPr="00ED28D1" w:rsidRDefault="00ED28D1" w:rsidP="005B2376">
            <w:pPr>
              <w:spacing w:before="0" w:after="0" w:line="276" w:lineRule="auto"/>
              <w:ind w:firstLine="0"/>
              <w:rPr>
                <w:sz w:val="18"/>
                <w:szCs w:val="18"/>
              </w:rPr>
            </w:pPr>
            <w:r w:rsidRPr="00ED28D1">
              <w:rPr>
                <w:color w:val="000000"/>
                <w:sz w:val="18"/>
                <w:szCs w:val="18"/>
              </w:rPr>
              <w:t>Đất, đá, VLXD..</w:t>
            </w:r>
          </w:p>
        </w:tc>
        <w:tc>
          <w:tcPr>
            <w:tcW w:w="778" w:type="dxa"/>
            <w:vAlign w:val="bottom"/>
          </w:tcPr>
          <w:p w14:paraId="176D1A33" w14:textId="3DDFC703" w:rsidR="00ED28D1" w:rsidRPr="00ED28D1" w:rsidRDefault="00ED28D1" w:rsidP="005B2376">
            <w:pPr>
              <w:spacing w:before="0" w:after="0" w:line="276" w:lineRule="auto"/>
              <w:ind w:right="108" w:firstLine="0"/>
              <w:jc w:val="right"/>
              <w:rPr>
                <w:sz w:val="18"/>
                <w:szCs w:val="18"/>
              </w:rPr>
            </w:pPr>
            <w:r w:rsidRPr="00ED28D1">
              <w:rPr>
                <w:color w:val="000000"/>
                <w:sz w:val="18"/>
                <w:szCs w:val="18"/>
              </w:rPr>
              <w:t>2,21</w:t>
            </w:r>
          </w:p>
        </w:tc>
        <w:tc>
          <w:tcPr>
            <w:tcW w:w="778" w:type="dxa"/>
            <w:vAlign w:val="bottom"/>
          </w:tcPr>
          <w:p w14:paraId="4F92C44F" w14:textId="4CE2A33E" w:rsidR="00ED28D1" w:rsidRPr="00ED28D1" w:rsidRDefault="00ED28D1" w:rsidP="005B2376">
            <w:pPr>
              <w:spacing w:before="0" w:after="0" w:line="276" w:lineRule="auto"/>
              <w:ind w:right="108" w:firstLine="0"/>
              <w:jc w:val="right"/>
              <w:rPr>
                <w:sz w:val="18"/>
                <w:szCs w:val="18"/>
              </w:rPr>
            </w:pPr>
            <w:r w:rsidRPr="00ED28D1">
              <w:rPr>
                <w:color w:val="000000"/>
                <w:sz w:val="18"/>
                <w:szCs w:val="18"/>
              </w:rPr>
              <w:t>7,58</w:t>
            </w:r>
          </w:p>
        </w:tc>
        <w:tc>
          <w:tcPr>
            <w:tcW w:w="778" w:type="dxa"/>
            <w:vAlign w:val="bottom"/>
          </w:tcPr>
          <w:p w14:paraId="4C81E3DD" w14:textId="2D9D639B" w:rsidR="00ED28D1" w:rsidRPr="00ED28D1" w:rsidRDefault="00ED28D1" w:rsidP="005B2376">
            <w:pPr>
              <w:spacing w:before="0" w:after="0" w:line="276" w:lineRule="auto"/>
              <w:ind w:right="108" w:firstLine="0"/>
              <w:jc w:val="right"/>
              <w:rPr>
                <w:sz w:val="18"/>
                <w:szCs w:val="18"/>
              </w:rPr>
            </w:pPr>
            <w:r w:rsidRPr="00ED28D1">
              <w:rPr>
                <w:color w:val="000000"/>
                <w:sz w:val="18"/>
                <w:szCs w:val="18"/>
              </w:rPr>
              <w:t>6,10</w:t>
            </w:r>
          </w:p>
        </w:tc>
        <w:tc>
          <w:tcPr>
            <w:tcW w:w="778" w:type="dxa"/>
          </w:tcPr>
          <w:p w14:paraId="0274848B" w14:textId="6D0166E7" w:rsidR="00ED28D1" w:rsidRPr="00302665" w:rsidRDefault="00302665" w:rsidP="005B2376">
            <w:pPr>
              <w:spacing w:before="0" w:after="0" w:line="276" w:lineRule="auto"/>
              <w:ind w:right="108" w:firstLine="0"/>
              <w:jc w:val="right"/>
              <w:rPr>
                <w:color w:val="000000"/>
                <w:sz w:val="18"/>
                <w:szCs w:val="18"/>
                <w:highlight w:val="yellow"/>
              </w:rPr>
            </w:pPr>
            <w:r w:rsidRPr="00302665">
              <w:rPr>
                <w:color w:val="000000"/>
                <w:sz w:val="18"/>
                <w:szCs w:val="18"/>
                <w:highlight w:val="yellow"/>
              </w:rPr>
              <w:t>8,15</w:t>
            </w:r>
            <w:r w:rsidR="00A2469A">
              <w:rPr>
                <w:b/>
                <w:bCs/>
                <w:color w:val="000000"/>
                <w:sz w:val="18"/>
                <w:szCs w:val="18"/>
                <w:highlight w:val="yellow"/>
                <w:vertAlign w:val="superscript"/>
              </w:rPr>
              <w:t>*</w:t>
            </w:r>
          </w:p>
        </w:tc>
      </w:tr>
    </w:tbl>
    <w:p w14:paraId="30D38ED5" w14:textId="48A33B87" w:rsidR="00400473" w:rsidRDefault="001E2A77" w:rsidP="00B355F8">
      <w:r w:rsidRPr="00891A51">
        <w:rPr>
          <w:i/>
          <w:sz w:val="18"/>
          <w:szCs w:val="16"/>
        </w:rPr>
        <w:t>Ghi chú: * Báo cáo hiện trạng Môi trường quốc gia 2011: “Chất thải rắn” của Bộ Tài nguyên và Môi trường;</w:t>
      </w:r>
    </w:p>
    <w:p w14:paraId="31ABCCEC" w14:textId="1BE8BE0B" w:rsidR="00B355F8" w:rsidRPr="00657060" w:rsidRDefault="00B355F8" w:rsidP="00B355F8">
      <w:r w:rsidRPr="00DF7FE8">
        <w:rPr>
          <w:highlight w:val="yellow"/>
        </w:rPr>
        <w:t xml:space="preserve">Đối chiếu </w:t>
      </w:r>
      <w:r w:rsidRPr="00DF7FE8">
        <w:rPr>
          <w:highlight w:val="yellow"/>
        </w:rPr>
        <w:t xml:space="preserve">kết quả phân loại thành phần CTR tại BCL của nghiên cứu </w:t>
      </w:r>
      <w:r w:rsidRPr="00DF7FE8">
        <w:rPr>
          <w:highlight w:val="yellow"/>
        </w:rPr>
        <w:t xml:space="preserve">với thành phần CTR sinh hoạt của thành phố cấp 1 – Đà Nẵng </w:t>
      </w:r>
      <w:r w:rsidRPr="00DF7FE8">
        <w:rPr>
          <w:highlight w:val="yellow"/>
        </w:rPr>
        <w:t xml:space="preserve">[1], có sự khác biệt </w:t>
      </w:r>
      <w:r w:rsidR="007871D2" w:rsidRPr="00DF7FE8">
        <w:rPr>
          <w:highlight w:val="yellow"/>
        </w:rPr>
        <w:t xml:space="preserve">ít ở một số thành phần như: nhựa, cao su và da… trong khi đó, sự khác biệt, tỷ trọng thấp hơn khá đáng kể ở một số thành phần có thể tái chế như: rác hữu cơ, giấy và carton, gỗ và kim loại. </w:t>
      </w:r>
      <w:r w:rsidR="00C551BB" w:rsidRPr="00DF7FE8">
        <w:rPr>
          <w:highlight w:val="yellow"/>
        </w:rPr>
        <w:t>Tuy nhiên sự so sánh này chỉ là tương đối vì số liệu có thể rất khác biệt và phụ thuộc vào quá trình, thời điểm lấy mẫu và số lượng mẫu.</w:t>
      </w:r>
    </w:p>
    <w:p w14:paraId="4EA33CDC" w14:textId="01749B33" w:rsidR="0076611D" w:rsidRDefault="00F94448" w:rsidP="00D233CC">
      <w:pPr>
        <w:pStyle w:val="Heading2"/>
        <w:rPr>
          <w:szCs w:val="20"/>
        </w:rPr>
      </w:pPr>
      <w:r>
        <w:rPr>
          <w:szCs w:val="20"/>
        </w:rPr>
        <w:t xml:space="preserve"> </w:t>
      </w:r>
      <w:r w:rsidR="00D233CC">
        <w:rPr>
          <w:szCs w:val="20"/>
        </w:rPr>
        <w:t>Đánh giá khả năng tái sử d</w:t>
      </w:r>
      <w:r w:rsidR="004C292D">
        <w:rPr>
          <w:szCs w:val="20"/>
        </w:rPr>
        <w:t>ụ</w:t>
      </w:r>
      <w:r w:rsidR="00D233CC">
        <w:rPr>
          <w:szCs w:val="20"/>
        </w:rPr>
        <w:t>ng, tái chế vật liệu trong CTR sinh hoạt TPBMT</w:t>
      </w:r>
    </w:p>
    <w:p w14:paraId="4845DBF1" w14:textId="053D259E" w:rsidR="00D233CC" w:rsidRDefault="002B3C4F" w:rsidP="00D233CC">
      <w:r>
        <w:t xml:space="preserve">Qua Bảng 2, cho thấy sự thay đổi tỷ trọng của một số thành phần chủ yếu trong dòng thải </w:t>
      </w:r>
      <w:r w:rsidR="000F1230">
        <w:t xml:space="preserve">từ nguồn thải đến BCL </w:t>
      </w:r>
      <w:r>
        <w:t xml:space="preserve">theo hướng tăng tỷ trọng rác hữu cơ, </w:t>
      </w:r>
      <w:r w:rsidR="00863B0E">
        <w:t>giảm tỷ trọng các vật liệu có giá trị kinh tế, dễ thu hồi trong quá trình thu gom, vận chuyển đến BCL.</w:t>
      </w:r>
      <w:r w:rsidR="00D17EBD">
        <w:t xml:space="preserve"> Hình 1 dưới đây thể hiện sự thay đổi một số thành phần chính trong dòng thải qua biểu đồ.</w:t>
      </w:r>
    </w:p>
    <w:p w14:paraId="087017F9" w14:textId="1544A92D" w:rsidR="00D17EBD" w:rsidRDefault="00F35CE6" w:rsidP="00A13674">
      <w:pPr>
        <w:ind w:firstLine="0"/>
      </w:pPr>
      <w:r>
        <w:rPr>
          <w:noProof/>
        </w:rPr>
        <w:drawing>
          <wp:inline distT="0" distB="0" distL="0" distR="0" wp14:anchorId="061AF2A0" wp14:editId="6F27F803">
            <wp:extent cx="3021965" cy="255136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6-10-05 at 15.15.43.png"/>
                    <pic:cNvPicPr/>
                  </pic:nvPicPr>
                  <pic:blipFill rotWithShape="1">
                    <a:blip r:embed="rId15" cstate="print">
                      <a:extLst>
                        <a:ext uri="{28A0092B-C50C-407E-A947-70E740481C1C}">
                          <a14:useLocalDpi xmlns:a14="http://schemas.microsoft.com/office/drawing/2010/main" val="0"/>
                        </a:ext>
                      </a:extLst>
                    </a:blip>
                    <a:srcRect l="1737" r="170"/>
                    <a:stretch/>
                  </pic:blipFill>
                  <pic:spPr bwMode="auto">
                    <a:xfrm>
                      <a:off x="0" y="0"/>
                      <a:ext cx="3043186" cy="2569284"/>
                    </a:xfrm>
                    <a:prstGeom prst="rect">
                      <a:avLst/>
                    </a:prstGeom>
                    <a:ln>
                      <a:noFill/>
                    </a:ln>
                    <a:extLst>
                      <a:ext uri="{53640926-AAD7-44D8-BBD7-CCE9431645EC}">
                        <a14:shadowObscured xmlns:a14="http://schemas.microsoft.com/office/drawing/2010/main"/>
                      </a:ext>
                    </a:extLst>
                  </pic:spPr>
                </pic:pic>
              </a:graphicData>
            </a:graphic>
          </wp:inline>
        </w:drawing>
      </w:r>
    </w:p>
    <w:p w14:paraId="7FF711B0" w14:textId="0F3F9B16" w:rsidR="00962C81" w:rsidRPr="00054EDF" w:rsidRDefault="00962C81" w:rsidP="00962C81">
      <w:pPr>
        <w:ind w:firstLine="0"/>
        <w:jc w:val="center"/>
        <w:rPr>
          <w:b/>
          <w:sz w:val="18"/>
          <w:szCs w:val="18"/>
        </w:rPr>
      </w:pPr>
      <w:r w:rsidRPr="00054EDF">
        <w:rPr>
          <w:b/>
          <w:i/>
          <w:sz w:val="18"/>
          <w:szCs w:val="18"/>
        </w:rPr>
        <w:t xml:space="preserve">Hình 1: </w:t>
      </w:r>
      <w:r w:rsidRPr="00054EDF">
        <w:rPr>
          <w:i/>
          <w:sz w:val="18"/>
          <w:szCs w:val="18"/>
        </w:rPr>
        <w:t>Biểu đồ tỷ trọng các vật liệu tái chế trong CTR sinh hoạt của TPBMT</w:t>
      </w:r>
      <w:r w:rsidR="00DA0B94">
        <w:rPr>
          <w:i/>
          <w:sz w:val="18"/>
          <w:szCs w:val="18"/>
        </w:rPr>
        <w:t>.</w:t>
      </w:r>
    </w:p>
    <w:p w14:paraId="32FC252C" w14:textId="7D80CF4F" w:rsidR="00962C81" w:rsidRDefault="003620D5" w:rsidP="003620D5">
      <w:r>
        <w:t xml:space="preserve">Biểu đồ trên </w:t>
      </w:r>
      <w:r w:rsidR="00491505">
        <w:t xml:space="preserve">cho thấy rác thải hữu cơ có sự gia tăng nhanh từ nguồn thải đến BLC trong khi các vật liệu tái chế </w:t>
      </w:r>
      <w:r w:rsidR="00491505">
        <w:lastRenderedPageBreak/>
        <w:t>có giá trị cao như: giấy và carton, kim loại…đã được thu hồi chỉ còn rất ít ở BCL</w:t>
      </w:r>
      <w:r w:rsidR="00862FA5">
        <w:t xml:space="preserve">, </w:t>
      </w:r>
      <w:r w:rsidR="0026568C">
        <w:t xml:space="preserve">ngoại </w:t>
      </w:r>
      <w:r w:rsidR="00862FA5">
        <w:t>trừ nhựa còn lại khá nhiều (11,2%).</w:t>
      </w:r>
      <w:r w:rsidR="007E482C">
        <w:t xml:space="preserve"> Điều này khẳng định rằng, động lực tách dòng vật liệu tái chế từ giá trị cao của chúng và thông qua hoạt động tạo thu nhập của những người nhặt ve chai hay các nhân viên thu gom CTR.</w:t>
      </w:r>
    </w:p>
    <w:p w14:paraId="4346654C" w14:textId="6B628D9D" w:rsidR="00400473" w:rsidRPr="00F21D8E" w:rsidRDefault="007E482C" w:rsidP="00F21D8E">
      <w:r>
        <w:t xml:space="preserve">Từ </w:t>
      </w:r>
      <w:r w:rsidR="00173254">
        <w:t>sự thay đổi tỷ trọng các thành phần trong dòng thải, có thể tính khối lượng các vật liệu có khả năng tái chế trong CTR sinh hoạt TPBMT, thể hiện trong Bảng 3 dưới đây.</w:t>
      </w:r>
    </w:p>
    <w:p w14:paraId="0A5321C1" w14:textId="5AC69499" w:rsidR="00C44767" w:rsidRPr="00054EDF" w:rsidRDefault="00C44767" w:rsidP="00C44767">
      <w:pPr>
        <w:ind w:firstLine="0"/>
        <w:jc w:val="center"/>
        <w:rPr>
          <w:i/>
          <w:sz w:val="18"/>
          <w:szCs w:val="18"/>
        </w:rPr>
      </w:pPr>
      <w:r w:rsidRPr="00054EDF">
        <w:rPr>
          <w:b/>
          <w:i/>
          <w:sz w:val="18"/>
          <w:szCs w:val="18"/>
        </w:rPr>
        <w:t xml:space="preserve">Bảng 3: </w:t>
      </w:r>
      <w:r w:rsidRPr="00054EDF">
        <w:rPr>
          <w:i/>
          <w:sz w:val="18"/>
          <w:szCs w:val="18"/>
        </w:rPr>
        <w:t>Khối lượng vật liệu tái chế được thu hồi</w:t>
      </w:r>
      <w:r w:rsidR="00976C46" w:rsidRPr="00054EDF">
        <w:rPr>
          <w:i/>
          <w:sz w:val="18"/>
          <w:szCs w:val="18"/>
        </w:rPr>
        <w:t xml:space="preserve"> </w:t>
      </w:r>
      <w:r w:rsidR="00170F03" w:rsidRPr="00054EDF">
        <w:rPr>
          <w:i/>
          <w:sz w:val="18"/>
          <w:szCs w:val="18"/>
        </w:rPr>
        <w:t xml:space="preserve">trong </w:t>
      </w:r>
      <w:r w:rsidR="00C42C55" w:rsidRPr="00054EDF">
        <w:rPr>
          <w:i/>
          <w:sz w:val="18"/>
          <w:szCs w:val="18"/>
        </w:rPr>
        <w:t xml:space="preserve">CTR sinh hoạt </w:t>
      </w:r>
      <w:r w:rsidR="00976C46" w:rsidRPr="00054EDF">
        <w:rPr>
          <w:i/>
          <w:sz w:val="18"/>
          <w:szCs w:val="18"/>
        </w:rPr>
        <w:t>của TPBMT</w:t>
      </w:r>
      <w:r w:rsidR="00DA0B94">
        <w:rPr>
          <w:i/>
          <w:sz w:val="18"/>
          <w:szCs w:val="18"/>
        </w:rPr>
        <w:t>.</w:t>
      </w:r>
    </w:p>
    <w:tbl>
      <w:tblPr>
        <w:tblStyle w:val="TableGrid"/>
        <w:tblW w:w="4668" w:type="dxa"/>
        <w:jc w:val="center"/>
        <w:tblLayout w:type="fixed"/>
        <w:tblLook w:val="04A0" w:firstRow="1" w:lastRow="0" w:firstColumn="1" w:lastColumn="0" w:noHBand="0" w:noVBand="1"/>
      </w:tblPr>
      <w:tblGrid>
        <w:gridCol w:w="1203"/>
        <w:gridCol w:w="1043"/>
        <w:gridCol w:w="1200"/>
        <w:gridCol w:w="1222"/>
      </w:tblGrid>
      <w:tr w:rsidR="00026DB8" w:rsidRPr="00026DB8" w14:paraId="686DD842" w14:textId="77777777" w:rsidTr="00026DB8">
        <w:trPr>
          <w:trHeight w:val="640"/>
          <w:jc w:val="center"/>
        </w:trPr>
        <w:tc>
          <w:tcPr>
            <w:tcW w:w="1203" w:type="dxa"/>
            <w:noWrap/>
            <w:hideMark/>
          </w:tcPr>
          <w:p w14:paraId="0F361DD3" w14:textId="77777777" w:rsidR="00C76408" w:rsidRPr="00026DB8" w:rsidRDefault="00C76408" w:rsidP="00026DB8">
            <w:pPr>
              <w:ind w:firstLine="0"/>
              <w:jc w:val="center"/>
              <w:rPr>
                <w:b/>
                <w:bCs/>
                <w:sz w:val="18"/>
                <w:szCs w:val="18"/>
              </w:rPr>
            </w:pPr>
            <w:r w:rsidRPr="00026DB8">
              <w:rPr>
                <w:b/>
                <w:bCs/>
                <w:sz w:val="18"/>
                <w:szCs w:val="18"/>
              </w:rPr>
              <w:t>Vật liệu tái chế</w:t>
            </w:r>
          </w:p>
        </w:tc>
        <w:tc>
          <w:tcPr>
            <w:tcW w:w="1043" w:type="dxa"/>
            <w:noWrap/>
            <w:hideMark/>
          </w:tcPr>
          <w:p w14:paraId="2A22EBC4" w14:textId="6F83A1DD" w:rsidR="00C76408" w:rsidRPr="00026DB8" w:rsidRDefault="00C76408" w:rsidP="00026DB8">
            <w:pPr>
              <w:ind w:firstLine="0"/>
              <w:jc w:val="center"/>
              <w:rPr>
                <w:b/>
                <w:bCs/>
                <w:sz w:val="18"/>
                <w:szCs w:val="18"/>
              </w:rPr>
            </w:pPr>
            <w:r w:rsidRPr="00026DB8">
              <w:rPr>
                <w:b/>
                <w:bCs/>
                <w:sz w:val="18"/>
                <w:szCs w:val="18"/>
              </w:rPr>
              <w:t>Tỷ lệ thu hồi</w:t>
            </w:r>
            <w:r w:rsidR="00026DB8">
              <w:rPr>
                <w:b/>
                <w:bCs/>
                <w:sz w:val="18"/>
                <w:szCs w:val="18"/>
              </w:rPr>
              <w:t xml:space="preserve"> </w:t>
            </w:r>
            <w:r w:rsidRPr="00026DB8">
              <w:rPr>
                <w:b/>
                <w:bCs/>
                <w:sz w:val="18"/>
                <w:szCs w:val="18"/>
              </w:rPr>
              <w:t>(%)</w:t>
            </w:r>
          </w:p>
        </w:tc>
        <w:tc>
          <w:tcPr>
            <w:tcW w:w="1200" w:type="dxa"/>
            <w:hideMark/>
          </w:tcPr>
          <w:p w14:paraId="18BB75F4" w14:textId="5E457D9A" w:rsidR="00C76408" w:rsidRPr="00026DB8" w:rsidRDefault="00C76408" w:rsidP="00976C46">
            <w:pPr>
              <w:ind w:firstLine="0"/>
              <w:jc w:val="center"/>
              <w:rPr>
                <w:b/>
                <w:bCs/>
                <w:sz w:val="18"/>
                <w:szCs w:val="18"/>
              </w:rPr>
            </w:pPr>
            <w:r w:rsidRPr="00026DB8">
              <w:rPr>
                <w:b/>
                <w:bCs/>
                <w:sz w:val="18"/>
                <w:szCs w:val="18"/>
              </w:rPr>
              <w:t xml:space="preserve">Tổng khối lượng CTR </w:t>
            </w:r>
            <w:r w:rsidR="00976C46">
              <w:rPr>
                <w:b/>
                <w:bCs/>
                <w:sz w:val="18"/>
                <w:szCs w:val="18"/>
              </w:rPr>
              <w:t xml:space="preserve"> </w:t>
            </w:r>
            <w:r w:rsidR="00976C46" w:rsidRPr="00976C46">
              <w:rPr>
                <w:bCs/>
                <w:sz w:val="18"/>
                <w:szCs w:val="18"/>
              </w:rPr>
              <w:t>(kg/ngày)</w:t>
            </w:r>
          </w:p>
        </w:tc>
        <w:tc>
          <w:tcPr>
            <w:tcW w:w="1222" w:type="dxa"/>
            <w:hideMark/>
          </w:tcPr>
          <w:p w14:paraId="6AA8CA82" w14:textId="65CB2933" w:rsidR="00976C46" w:rsidRPr="00026DB8" w:rsidRDefault="00C76408" w:rsidP="000940FB">
            <w:pPr>
              <w:ind w:firstLine="0"/>
              <w:jc w:val="center"/>
              <w:rPr>
                <w:b/>
                <w:bCs/>
                <w:sz w:val="18"/>
                <w:szCs w:val="18"/>
              </w:rPr>
            </w:pPr>
            <w:r w:rsidRPr="00026DB8">
              <w:rPr>
                <w:b/>
                <w:bCs/>
                <w:sz w:val="18"/>
                <w:szCs w:val="18"/>
              </w:rPr>
              <w:t>Khối lượng vật liệu tái chế</w:t>
            </w:r>
            <w:r w:rsidR="000940FB">
              <w:rPr>
                <w:b/>
                <w:bCs/>
                <w:sz w:val="18"/>
                <w:szCs w:val="18"/>
              </w:rPr>
              <w:t xml:space="preserve"> </w:t>
            </w:r>
            <w:r w:rsidR="00976C46" w:rsidRPr="00976C46">
              <w:rPr>
                <w:bCs/>
                <w:sz w:val="18"/>
                <w:szCs w:val="18"/>
              </w:rPr>
              <w:t>(kg/ngày)</w:t>
            </w:r>
          </w:p>
        </w:tc>
      </w:tr>
      <w:tr w:rsidR="004648E2" w:rsidRPr="00026DB8" w14:paraId="24E2B373" w14:textId="77777777" w:rsidTr="00420327">
        <w:trPr>
          <w:trHeight w:val="345"/>
          <w:jc w:val="center"/>
        </w:trPr>
        <w:tc>
          <w:tcPr>
            <w:tcW w:w="1203" w:type="dxa"/>
            <w:noWrap/>
            <w:hideMark/>
          </w:tcPr>
          <w:p w14:paraId="590E3F8E" w14:textId="77777777" w:rsidR="004648E2" w:rsidRPr="00026DB8" w:rsidRDefault="004648E2" w:rsidP="00026DB8">
            <w:pPr>
              <w:ind w:firstLine="0"/>
              <w:rPr>
                <w:sz w:val="18"/>
                <w:szCs w:val="18"/>
              </w:rPr>
            </w:pPr>
            <w:r w:rsidRPr="00026DB8">
              <w:rPr>
                <w:sz w:val="18"/>
                <w:szCs w:val="18"/>
              </w:rPr>
              <w:t>Giấy và carton</w:t>
            </w:r>
          </w:p>
        </w:tc>
        <w:tc>
          <w:tcPr>
            <w:tcW w:w="1043" w:type="dxa"/>
            <w:noWrap/>
            <w:hideMark/>
          </w:tcPr>
          <w:p w14:paraId="12A913CA" w14:textId="77777777" w:rsidR="004648E2" w:rsidRPr="00026DB8" w:rsidRDefault="004648E2" w:rsidP="00C76408">
            <w:pPr>
              <w:rPr>
                <w:sz w:val="18"/>
                <w:szCs w:val="18"/>
              </w:rPr>
            </w:pPr>
            <w:r w:rsidRPr="00026DB8">
              <w:rPr>
                <w:sz w:val="18"/>
                <w:szCs w:val="18"/>
              </w:rPr>
              <w:t>12,07</w:t>
            </w:r>
          </w:p>
        </w:tc>
        <w:tc>
          <w:tcPr>
            <w:tcW w:w="1200" w:type="dxa"/>
            <w:vMerge w:val="restart"/>
            <w:noWrap/>
            <w:vAlign w:val="center"/>
            <w:hideMark/>
          </w:tcPr>
          <w:p w14:paraId="7B68E0C1" w14:textId="5A84C99E" w:rsidR="004648E2" w:rsidRPr="00026DB8" w:rsidRDefault="004648E2" w:rsidP="004648E2">
            <w:pPr>
              <w:rPr>
                <w:sz w:val="18"/>
                <w:szCs w:val="18"/>
              </w:rPr>
            </w:pPr>
            <w:r w:rsidRPr="00976C46">
              <w:rPr>
                <w:sz w:val="18"/>
                <w:szCs w:val="18"/>
              </w:rPr>
              <w:t>1</w:t>
            </w:r>
            <w:r>
              <w:rPr>
                <w:sz w:val="18"/>
                <w:szCs w:val="18"/>
              </w:rPr>
              <w:t>65</w:t>
            </w:r>
            <w:r w:rsidRPr="00976C46">
              <w:rPr>
                <w:sz w:val="18"/>
                <w:szCs w:val="18"/>
              </w:rPr>
              <w:t>.</w:t>
            </w:r>
            <w:r>
              <w:rPr>
                <w:sz w:val="18"/>
                <w:szCs w:val="18"/>
              </w:rPr>
              <w:t>041</w:t>
            </w:r>
          </w:p>
        </w:tc>
        <w:tc>
          <w:tcPr>
            <w:tcW w:w="1222" w:type="dxa"/>
            <w:noWrap/>
            <w:vAlign w:val="bottom"/>
            <w:hideMark/>
          </w:tcPr>
          <w:p w14:paraId="01834B0C" w14:textId="5677A57A" w:rsidR="004648E2" w:rsidRPr="00026DB8" w:rsidRDefault="004648E2" w:rsidP="004648E2">
            <w:pPr>
              <w:ind w:right="60"/>
              <w:jc w:val="right"/>
              <w:rPr>
                <w:sz w:val="18"/>
                <w:szCs w:val="18"/>
              </w:rPr>
            </w:pPr>
            <w:r w:rsidRPr="004648E2">
              <w:rPr>
                <w:sz w:val="18"/>
                <w:szCs w:val="18"/>
              </w:rPr>
              <w:t>19.920</w:t>
            </w:r>
          </w:p>
        </w:tc>
      </w:tr>
      <w:tr w:rsidR="004648E2" w:rsidRPr="00026DB8" w14:paraId="5068B688" w14:textId="77777777" w:rsidTr="00FC7876">
        <w:trPr>
          <w:trHeight w:val="345"/>
          <w:jc w:val="center"/>
        </w:trPr>
        <w:tc>
          <w:tcPr>
            <w:tcW w:w="1203" w:type="dxa"/>
            <w:noWrap/>
            <w:hideMark/>
          </w:tcPr>
          <w:p w14:paraId="280AFD13" w14:textId="77777777" w:rsidR="004648E2" w:rsidRPr="00026DB8" w:rsidRDefault="004648E2" w:rsidP="00026DB8">
            <w:pPr>
              <w:ind w:firstLine="0"/>
              <w:rPr>
                <w:sz w:val="18"/>
                <w:szCs w:val="18"/>
              </w:rPr>
            </w:pPr>
            <w:r w:rsidRPr="00026DB8">
              <w:rPr>
                <w:sz w:val="18"/>
                <w:szCs w:val="18"/>
              </w:rPr>
              <w:t>Nhựa</w:t>
            </w:r>
          </w:p>
        </w:tc>
        <w:tc>
          <w:tcPr>
            <w:tcW w:w="1043" w:type="dxa"/>
            <w:noWrap/>
            <w:hideMark/>
          </w:tcPr>
          <w:p w14:paraId="489B8D05" w14:textId="77777777" w:rsidR="004648E2" w:rsidRPr="00026DB8" w:rsidRDefault="004648E2" w:rsidP="00C76408">
            <w:pPr>
              <w:rPr>
                <w:sz w:val="18"/>
                <w:szCs w:val="18"/>
              </w:rPr>
            </w:pPr>
            <w:r w:rsidRPr="00026DB8">
              <w:rPr>
                <w:sz w:val="18"/>
                <w:szCs w:val="18"/>
              </w:rPr>
              <w:t>7,15</w:t>
            </w:r>
          </w:p>
        </w:tc>
        <w:tc>
          <w:tcPr>
            <w:tcW w:w="1200" w:type="dxa"/>
            <w:vMerge/>
            <w:hideMark/>
          </w:tcPr>
          <w:p w14:paraId="127DC31C" w14:textId="77777777" w:rsidR="004648E2" w:rsidRPr="00026DB8" w:rsidRDefault="004648E2">
            <w:pPr>
              <w:rPr>
                <w:sz w:val="18"/>
                <w:szCs w:val="18"/>
              </w:rPr>
            </w:pPr>
          </w:p>
        </w:tc>
        <w:tc>
          <w:tcPr>
            <w:tcW w:w="1222" w:type="dxa"/>
            <w:vAlign w:val="bottom"/>
            <w:hideMark/>
          </w:tcPr>
          <w:p w14:paraId="7DB2D37F" w14:textId="6A748371" w:rsidR="004648E2" w:rsidRPr="00026DB8" w:rsidRDefault="004648E2" w:rsidP="004648E2">
            <w:pPr>
              <w:ind w:right="60"/>
              <w:jc w:val="right"/>
              <w:rPr>
                <w:sz w:val="18"/>
                <w:szCs w:val="18"/>
              </w:rPr>
            </w:pPr>
            <w:r w:rsidRPr="004648E2">
              <w:rPr>
                <w:sz w:val="18"/>
                <w:szCs w:val="18"/>
              </w:rPr>
              <w:t>11.801</w:t>
            </w:r>
          </w:p>
        </w:tc>
      </w:tr>
      <w:tr w:rsidR="004648E2" w:rsidRPr="00026DB8" w14:paraId="20261AF0" w14:textId="77777777" w:rsidTr="00420327">
        <w:trPr>
          <w:trHeight w:val="300"/>
          <w:jc w:val="center"/>
        </w:trPr>
        <w:tc>
          <w:tcPr>
            <w:tcW w:w="1203" w:type="dxa"/>
            <w:noWrap/>
            <w:hideMark/>
          </w:tcPr>
          <w:p w14:paraId="5C2F61F0" w14:textId="77777777" w:rsidR="004648E2" w:rsidRPr="00026DB8" w:rsidRDefault="004648E2" w:rsidP="00026DB8">
            <w:pPr>
              <w:ind w:firstLine="0"/>
              <w:rPr>
                <w:sz w:val="18"/>
                <w:szCs w:val="18"/>
              </w:rPr>
            </w:pPr>
            <w:r w:rsidRPr="00026DB8">
              <w:rPr>
                <w:sz w:val="18"/>
                <w:szCs w:val="18"/>
              </w:rPr>
              <w:t>Thuỷ tinh</w:t>
            </w:r>
          </w:p>
        </w:tc>
        <w:tc>
          <w:tcPr>
            <w:tcW w:w="1043" w:type="dxa"/>
            <w:noWrap/>
            <w:hideMark/>
          </w:tcPr>
          <w:p w14:paraId="20CD088F" w14:textId="77777777" w:rsidR="004648E2" w:rsidRPr="00026DB8" w:rsidRDefault="004648E2" w:rsidP="00C76408">
            <w:pPr>
              <w:rPr>
                <w:sz w:val="18"/>
                <w:szCs w:val="18"/>
              </w:rPr>
            </w:pPr>
            <w:r w:rsidRPr="00026DB8">
              <w:rPr>
                <w:sz w:val="18"/>
                <w:szCs w:val="18"/>
              </w:rPr>
              <w:t>3,99</w:t>
            </w:r>
          </w:p>
        </w:tc>
        <w:tc>
          <w:tcPr>
            <w:tcW w:w="1200" w:type="dxa"/>
            <w:vMerge/>
            <w:hideMark/>
          </w:tcPr>
          <w:p w14:paraId="74CE1DA7" w14:textId="77777777" w:rsidR="004648E2" w:rsidRPr="00026DB8" w:rsidRDefault="004648E2">
            <w:pPr>
              <w:rPr>
                <w:sz w:val="18"/>
                <w:szCs w:val="18"/>
              </w:rPr>
            </w:pPr>
          </w:p>
        </w:tc>
        <w:tc>
          <w:tcPr>
            <w:tcW w:w="1222" w:type="dxa"/>
            <w:noWrap/>
            <w:vAlign w:val="bottom"/>
            <w:hideMark/>
          </w:tcPr>
          <w:p w14:paraId="2254895B" w14:textId="398BEC5C" w:rsidR="004648E2" w:rsidRPr="00026DB8" w:rsidRDefault="004648E2" w:rsidP="004648E2">
            <w:pPr>
              <w:ind w:right="60"/>
              <w:jc w:val="right"/>
              <w:rPr>
                <w:sz w:val="18"/>
                <w:szCs w:val="18"/>
              </w:rPr>
            </w:pPr>
            <w:r w:rsidRPr="004648E2">
              <w:rPr>
                <w:sz w:val="18"/>
                <w:szCs w:val="18"/>
              </w:rPr>
              <w:t>6.583</w:t>
            </w:r>
          </w:p>
        </w:tc>
      </w:tr>
      <w:tr w:rsidR="004648E2" w:rsidRPr="00026DB8" w14:paraId="48114159" w14:textId="77777777" w:rsidTr="00420327">
        <w:trPr>
          <w:trHeight w:val="300"/>
          <w:jc w:val="center"/>
        </w:trPr>
        <w:tc>
          <w:tcPr>
            <w:tcW w:w="1203" w:type="dxa"/>
            <w:noWrap/>
            <w:hideMark/>
          </w:tcPr>
          <w:p w14:paraId="70E42979" w14:textId="77777777" w:rsidR="004648E2" w:rsidRPr="00026DB8" w:rsidRDefault="004648E2" w:rsidP="00026DB8">
            <w:pPr>
              <w:ind w:firstLine="0"/>
              <w:rPr>
                <w:sz w:val="18"/>
                <w:szCs w:val="18"/>
              </w:rPr>
            </w:pPr>
            <w:r w:rsidRPr="00026DB8">
              <w:rPr>
                <w:sz w:val="18"/>
                <w:szCs w:val="18"/>
              </w:rPr>
              <w:t>Kim loại</w:t>
            </w:r>
          </w:p>
        </w:tc>
        <w:tc>
          <w:tcPr>
            <w:tcW w:w="1043" w:type="dxa"/>
            <w:noWrap/>
            <w:hideMark/>
          </w:tcPr>
          <w:p w14:paraId="7C180150" w14:textId="77777777" w:rsidR="004648E2" w:rsidRPr="00026DB8" w:rsidRDefault="004648E2" w:rsidP="00C76408">
            <w:pPr>
              <w:rPr>
                <w:sz w:val="18"/>
                <w:szCs w:val="18"/>
              </w:rPr>
            </w:pPr>
            <w:r w:rsidRPr="00026DB8">
              <w:rPr>
                <w:sz w:val="18"/>
                <w:szCs w:val="18"/>
              </w:rPr>
              <w:t>1,05</w:t>
            </w:r>
          </w:p>
        </w:tc>
        <w:tc>
          <w:tcPr>
            <w:tcW w:w="1200" w:type="dxa"/>
            <w:vMerge/>
            <w:hideMark/>
          </w:tcPr>
          <w:p w14:paraId="3FF74BBB" w14:textId="77777777" w:rsidR="004648E2" w:rsidRPr="00026DB8" w:rsidRDefault="004648E2">
            <w:pPr>
              <w:rPr>
                <w:sz w:val="18"/>
                <w:szCs w:val="18"/>
              </w:rPr>
            </w:pPr>
          </w:p>
        </w:tc>
        <w:tc>
          <w:tcPr>
            <w:tcW w:w="1222" w:type="dxa"/>
            <w:noWrap/>
            <w:vAlign w:val="bottom"/>
            <w:hideMark/>
          </w:tcPr>
          <w:p w14:paraId="0D210D8B" w14:textId="7892990F" w:rsidR="004648E2" w:rsidRPr="00026DB8" w:rsidRDefault="004648E2" w:rsidP="004648E2">
            <w:pPr>
              <w:ind w:right="60"/>
              <w:jc w:val="right"/>
              <w:rPr>
                <w:sz w:val="18"/>
                <w:szCs w:val="18"/>
              </w:rPr>
            </w:pPr>
            <w:r w:rsidRPr="004648E2">
              <w:rPr>
                <w:sz w:val="18"/>
                <w:szCs w:val="18"/>
              </w:rPr>
              <w:t>1.739</w:t>
            </w:r>
          </w:p>
        </w:tc>
      </w:tr>
    </w:tbl>
    <w:p w14:paraId="1F52C0F4" w14:textId="417317E5" w:rsidR="00391D8C" w:rsidRDefault="00391D8C" w:rsidP="003620D5">
      <w:r>
        <w:t>Từ tỷ lệ vật liệu được thu hồi, có thể tính khối lượng vật liệu được tái chế tương ứng, nhiều nhất là giấy và carton khoảng 2</w:t>
      </w:r>
      <w:r w:rsidR="00FC7876">
        <w:t xml:space="preserve">0 </w:t>
      </w:r>
      <w:r>
        <w:t>tấn/ngày, tiếp theo là nhựa hơn 1</w:t>
      </w:r>
      <w:r w:rsidR="00FC7876">
        <w:t>1</w:t>
      </w:r>
      <w:r>
        <w:t>,</w:t>
      </w:r>
      <w:r w:rsidR="00FC7876">
        <w:t>8</w:t>
      </w:r>
      <w:r>
        <w:t xml:space="preserve"> tấn/ngày, thuỷ tinh hơn </w:t>
      </w:r>
      <w:r w:rsidR="00FC7876">
        <w:t>6,5</w:t>
      </w:r>
      <w:r>
        <w:t xml:space="preserve"> tấn/ngày và kim loại với hơn </w:t>
      </w:r>
      <w:r w:rsidR="00FC7876">
        <w:t>1,73</w:t>
      </w:r>
      <w:r>
        <w:t xml:space="preserve"> tấn/ngày.</w:t>
      </w:r>
    </w:p>
    <w:p w14:paraId="68A6AC48" w14:textId="0950E122" w:rsidR="001724C7" w:rsidRDefault="0077356E" w:rsidP="002E199F">
      <w:r>
        <w:t xml:space="preserve">Ngoài các vật liệu tái chế, trong dòng thải CTR sinh hoạt tại TPBMT, thành phần chiếm tỷ trọng chính là rác hữu cơ vẫn chưa được thu hồi. Theo tính toán, lượng chất thải này có khối </w:t>
      </w:r>
      <w:r w:rsidRPr="003079B0">
        <w:rPr>
          <w:color w:val="000000" w:themeColor="text1"/>
        </w:rPr>
        <w:t xml:space="preserve">lượng </w:t>
      </w:r>
      <w:r w:rsidR="00486692" w:rsidRPr="003079B0">
        <w:rPr>
          <w:color w:val="000000" w:themeColor="text1"/>
        </w:rPr>
        <w:t>1</w:t>
      </w:r>
      <w:r w:rsidR="00E75B00" w:rsidRPr="003079B0">
        <w:rPr>
          <w:color w:val="000000" w:themeColor="text1"/>
        </w:rPr>
        <w:t>23</w:t>
      </w:r>
      <w:r w:rsidR="00486692" w:rsidRPr="003079B0">
        <w:rPr>
          <w:color w:val="000000" w:themeColor="text1"/>
        </w:rPr>
        <w:t>,</w:t>
      </w:r>
      <w:r w:rsidR="00E75B00" w:rsidRPr="003079B0">
        <w:rPr>
          <w:color w:val="000000" w:themeColor="text1"/>
        </w:rPr>
        <w:t>450</w:t>
      </w:r>
      <w:r w:rsidR="00486692" w:rsidRPr="003079B0">
        <w:rPr>
          <w:color w:val="000000" w:themeColor="text1"/>
        </w:rPr>
        <w:t xml:space="preserve"> kg/ngày</w:t>
      </w:r>
      <w:r w:rsidRPr="003079B0">
        <w:rPr>
          <w:color w:val="000000" w:themeColor="text1"/>
        </w:rPr>
        <w:t xml:space="preserve"> </w:t>
      </w:r>
      <w:r>
        <w:t xml:space="preserve">có thể tận dụng làm phân compost trực tiếp sử dụng cho nông nghiệp vốn là hoạt động kinh tế chính ở </w:t>
      </w:r>
      <w:r w:rsidR="0025117A">
        <w:t>tỉnh Daklak</w:t>
      </w:r>
      <w:r>
        <w:t>, đồng thời giảm được phần chi phí rất lớn cho việc xử lý tại bãi chôn lấp.</w:t>
      </w:r>
    </w:p>
    <w:p w14:paraId="2BFA5894" w14:textId="5A73106E" w:rsidR="00B51A25" w:rsidRDefault="0070791D" w:rsidP="0070791D">
      <w:pPr>
        <w:pStyle w:val="Heading2"/>
      </w:pPr>
      <w:r>
        <w:t>Đ</w:t>
      </w:r>
      <w:r w:rsidR="00F50E6E">
        <w:t>ề xuất đ</w:t>
      </w:r>
      <w:r>
        <w:t xml:space="preserve">ịnh hướng </w:t>
      </w:r>
      <w:r w:rsidR="00F50E6E">
        <w:t>quản lý CTR phù hợp cho TPBMT</w:t>
      </w:r>
    </w:p>
    <w:p w14:paraId="4B4E0280" w14:textId="1533610D" w:rsidR="003E3F20" w:rsidRDefault="00F50892" w:rsidP="003E3F20">
      <w:pPr>
        <w:rPr>
          <w:color w:val="000000" w:themeColor="text1"/>
        </w:rPr>
      </w:pPr>
      <w:r w:rsidRPr="00B47BC6">
        <w:rPr>
          <w:color w:val="000000" w:themeColor="text1"/>
        </w:rPr>
        <w:t>TPBMT</w:t>
      </w:r>
      <w:r w:rsidR="0078584B" w:rsidRPr="00B47BC6">
        <w:rPr>
          <w:color w:val="000000" w:themeColor="text1"/>
        </w:rPr>
        <w:t xml:space="preserve"> với diện tích </w:t>
      </w:r>
      <w:r w:rsidRPr="00B47BC6">
        <w:rPr>
          <w:color w:val="000000" w:themeColor="text1"/>
        </w:rPr>
        <w:t>337</w:t>
      </w:r>
      <w:r w:rsidR="0078584B" w:rsidRPr="00B47BC6">
        <w:rPr>
          <w:color w:val="000000" w:themeColor="text1"/>
        </w:rPr>
        <w:t xml:space="preserve"> km</w:t>
      </w:r>
      <w:r w:rsidR="0078584B" w:rsidRPr="00B47BC6">
        <w:rPr>
          <w:color w:val="000000" w:themeColor="text1"/>
          <w:vertAlign w:val="superscript"/>
        </w:rPr>
        <w:t>2</w:t>
      </w:r>
      <w:r w:rsidR="0078584B" w:rsidRPr="00B47BC6">
        <w:rPr>
          <w:color w:val="000000" w:themeColor="text1"/>
        </w:rPr>
        <w:t xml:space="preserve">, </w:t>
      </w:r>
      <w:r w:rsidR="001422D3" w:rsidRPr="00B47BC6">
        <w:rPr>
          <w:color w:val="000000" w:themeColor="text1"/>
        </w:rPr>
        <w:t xml:space="preserve">có địa hình tương đối ít dốc so với các thành phố khác của Tây Nguyên, </w:t>
      </w:r>
      <w:r w:rsidR="0078584B" w:rsidRPr="00B47BC6">
        <w:rPr>
          <w:color w:val="000000" w:themeColor="text1"/>
        </w:rPr>
        <w:t>có tốc độ tăng trưởng tương đối cao (trung bình 12,</w:t>
      </w:r>
      <w:r w:rsidRPr="00B47BC6">
        <w:rPr>
          <w:color w:val="000000" w:themeColor="text1"/>
        </w:rPr>
        <w:t>41</w:t>
      </w:r>
      <w:r w:rsidR="0078584B" w:rsidRPr="00B47BC6">
        <w:rPr>
          <w:color w:val="000000" w:themeColor="text1"/>
        </w:rPr>
        <w:t xml:space="preserve"> %/năm trong </w:t>
      </w:r>
      <w:r w:rsidRPr="00B47BC6">
        <w:rPr>
          <w:color w:val="000000" w:themeColor="text1"/>
        </w:rPr>
        <w:t>giai đoạn 2010-2015</w:t>
      </w:r>
      <w:r w:rsidR="00B944E7">
        <w:rPr>
          <w:color w:val="000000" w:themeColor="text1"/>
        </w:rPr>
        <w:t xml:space="preserve">) và quy mô dân số không lớn, </w:t>
      </w:r>
      <w:r w:rsidR="00A701C5" w:rsidRPr="00B47BC6">
        <w:rPr>
          <w:color w:val="000000" w:themeColor="text1"/>
        </w:rPr>
        <w:t>vùng ngoại</w:t>
      </w:r>
      <w:r w:rsidR="00B944E7">
        <w:rPr>
          <w:color w:val="000000" w:themeColor="text1"/>
        </w:rPr>
        <w:t xml:space="preserve"> thành có hoạt động nông nghiệp</w:t>
      </w:r>
      <w:r w:rsidR="00A701C5" w:rsidRPr="00B47BC6">
        <w:rPr>
          <w:color w:val="000000" w:themeColor="text1"/>
        </w:rPr>
        <w:t xml:space="preserve">. </w:t>
      </w:r>
      <w:r w:rsidR="000D5396" w:rsidRPr="00B47BC6">
        <w:rPr>
          <w:color w:val="000000" w:themeColor="text1"/>
        </w:rPr>
        <w:t>Với tính đặc thù về vị trí địa lý và vai trò trung tâm kinh tế, chính trị vùng Tây Nguyên</w:t>
      </w:r>
      <w:r w:rsidR="00152781">
        <w:rPr>
          <w:color w:val="000000" w:themeColor="text1"/>
        </w:rPr>
        <w:t xml:space="preserve"> [4]</w:t>
      </w:r>
      <w:r w:rsidR="000D5396" w:rsidRPr="00B47BC6">
        <w:rPr>
          <w:color w:val="000000" w:themeColor="text1"/>
        </w:rPr>
        <w:t xml:space="preserve">, </w:t>
      </w:r>
      <w:r w:rsidR="003E3F20" w:rsidRPr="00B47BC6">
        <w:rPr>
          <w:color w:val="000000" w:themeColor="text1"/>
        </w:rPr>
        <w:t>và hiện trạng quản lý CTR còn nhiều bất cập</w:t>
      </w:r>
      <w:r w:rsidR="00152781">
        <w:rPr>
          <w:color w:val="000000" w:themeColor="text1"/>
        </w:rPr>
        <w:t xml:space="preserve"> [3]</w:t>
      </w:r>
      <w:r w:rsidR="003E3F20" w:rsidRPr="00B47BC6">
        <w:rPr>
          <w:color w:val="000000" w:themeColor="text1"/>
        </w:rPr>
        <w:t xml:space="preserve">, </w:t>
      </w:r>
      <w:r w:rsidR="000D5396" w:rsidRPr="00B47BC6">
        <w:rPr>
          <w:color w:val="000000" w:themeColor="text1"/>
        </w:rPr>
        <w:t>có thể định hướng xây dựng hệ thống quản lý tổng hợp CTR phù hợp cho thành phố</w:t>
      </w:r>
      <w:r w:rsidR="003E3F20" w:rsidRPr="00B47BC6">
        <w:rPr>
          <w:color w:val="000000" w:themeColor="text1"/>
        </w:rPr>
        <w:t xml:space="preserve"> nhằm: i) Giảm thiểu lượng chất thải phát sinh; ii) Tăng tái sử dụng và tái chế chất thải; iii) </w:t>
      </w:r>
      <w:r w:rsidR="00A00C22" w:rsidRPr="00B47BC6">
        <w:rPr>
          <w:color w:val="000000" w:themeColor="text1"/>
        </w:rPr>
        <w:t>Đảm bảo tính an toàn và hiệu quả trong xử lý CTR</w:t>
      </w:r>
      <w:r w:rsidR="002F3DA2">
        <w:rPr>
          <w:color w:val="000000" w:themeColor="text1"/>
        </w:rPr>
        <w:t xml:space="preserve"> [8]</w:t>
      </w:r>
      <w:r w:rsidR="00A00C22" w:rsidRPr="00B47BC6">
        <w:rPr>
          <w:color w:val="000000" w:themeColor="text1"/>
        </w:rPr>
        <w:t xml:space="preserve">. </w:t>
      </w:r>
      <w:r w:rsidR="00B47BC6" w:rsidRPr="00B47BC6">
        <w:rPr>
          <w:color w:val="000000" w:themeColor="text1"/>
        </w:rPr>
        <w:t xml:space="preserve">Để đạt được sự bền vững của hệ thống quản lý CTR, đáp ứng </w:t>
      </w:r>
      <w:r w:rsidR="00B47BC6" w:rsidRPr="00E97796">
        <w:rPr>
          <w:i/>
          <w:color w:val="000000" w:themeColor="text1"/>
        </w:rPr>
        <w:t>“Chiến lược quốc gia về quản lý tổng hợp chất thải rắn đến năm 2025, tầm nhìn 2050”</w:t>
      </w:r>
      <w:r w:rsidR="00B47BC6" w:rsidRPr="00B47BC6">
        <w:rPr>
          <w:color w:val="000000" w:themeColor="text1"/>
        </w:rPr>
        <w:t>, thành phố</w:t>
      </w:r>
      <w:r w:rsidR="008504EC">
        <w:rPr>
          <w:color w:val="000000" w:themeColor="text1"/>
        </w:rPr>
        <w:t xml:space="preserve"> cần xây dựng hệ thống quản lý tổng hợp chất thải rắn chú ý đến sự trao đổi vật chất và năng lượng giữa hệ thống đô thị và hệ thống nông nghiệp nông thôn của thành phố</w:t>
      </w:r>
      <w:r w:rsidR="00F105E1">
        <w:rPr>
          <w:color w:val="000000" w:themeColor="text1"/>
        </w:rPr>
        <w:t xml:space="preserve"> [5, 6]</w:t>
      </w:r>
      <w:r w:rsidR="008504EC">
        <w:rPr>
          <w:color w:val="000000" w:themeColor="text1"/>
        </w:rPr>
        <w:t>, đây cũng là quan điểm định hướng xã hội tuần hoàn tài nguyên</w:t>
      </w:r>
      <w:r w:rsidR="00F105E1">
        <w:rPr>
          <w:color w:val="000000" w:themeColor="text1"/>
        </w:rPr>
        <w:t xml:space="preserve"> [7]</w:t>
      </w:r>
      <w:r w:rsidR="008504EC">
        <w:rPr>
          <w:color w:val="000000" w:themeColor="text1"/>
        </w:rPr>
        <w:t>.</w:t>
      </w:r>
      <w:r w:rsidR="0091265E">
        <w:rPr>
          <w:color w:val="000000" w:themeColor="text1"/>
        </w:rPr>
        <w:t xml:space="preserve"> </w:t>
      </w:r>
    </w:p>
    <w:p w14:paraId="1F124789" w14:textId="7622976C" w:rsidR="00FA7E93" w:rsidRDefault="0054483F" w:rsidP="003E3F20">
      <w:pPr>
        <w:rPr>
          <w:color w:val="000000" w:themeColor="text1"/>
        </w:rPr>
      </w:pPr>
      <w:r>
        <w:rPr>
          <w:color w:val="000000" w:themeColor="text1"/>
        </w:rPr>
        <w:t xml:space="preserve">Tái chế CTR: </w:t>
      </w:r>
      <w:r w:rsidR="00AC5A19">
        <w:rPr>
          <w:color w:val="000000" w:themeColor="text1"/>
        </w:rPr>
        <w:t>H</w:t>
      </w:r>
      <w:r w:rsidR="00E21E7E">
        <w:rPr>
          <w:color w:val="000000" w:themeColor="text1"/>
        </w:rPr>
        <w:t>iện tại, ở TPBMT, các vật liệu có khả năng</w:t>
      </w:r>
      <w:r w:rsidR="00547716">
        <w:rPr>
          <w:color w:val="000000" w:themeColor="text1"/>
        </w:rPr>
        <w:t xml:space="preserve"> tái chế như: giấy, carton</w:t>
      </w:r>
      <w:r w:rsidR="00E21E7E">
        <w:rPr>
          <w:color w:val="000000" w:themeColor="text1"/>
        </w:rPr>
        <w:t xml:space="preserve">, kim loại…được thu hồi bởi người nhặt ve chai và các công nhân thu gom CTR với khoảng 24,26% tổng lượng CTR. </w:t>
      </w:r>
      <w:r w:rsidR="00221C37">
        <w:rPr>
          <w:color w:val="000000" w:themeColor="text1"/>
        </w:rPr>
        <w:t>Do</w:t>
      </w:r>
      <w:r w:rsidR="00E21E7E">
        <w:rPr>
          <w:color w:val="000000" w:themeColor="text1"/>
        </w:rPr>
        <w:t xml:space="preserve"> đó, để tăng hoạt động </w:t>
      </w:r>
      <w:r w:rsidR="00E21E7E">
        <w:rPr>
          <w:color w:val="000000" w:themeColor="text1"/>
        </w:rPr>
        <w:lastRenderedPageBreak/>
        <w:t xml:space="preserve">này, cần thúc đẩy sự hợp tác giữa cộng đồng, dịch vụ công và các nhóm tư nhân trong các hoạt động tái chế nhằm giảm được lượng chất thải ngay tại nguồn. </w:t>
      </w:r>
      <w:r w:rsidR="0010191B">
        <w:rPr>
          <w:color w:val="000000" w:themeColor="text1"/>
        </w:rPr>
        <w:t xml:space="preserve">Vấn đề lớn nhất hiện nay là hoạt động phân loại và thu gom vật liệu có thể tái sử dụng từ chất thải </w:t>
      </w:r>
      <w:r w:rsidR="004E555B">
        <w:rPr>
          <w:color w:val="000000" w:themeColor="text1"/>
        </w:rPr>
        <w:t>ngay tại điểm thu gom và b</w:t>
      </w:r>
      <w:r w:rsidR="007618D0">
        <w:rPr>
          <w:color w:val="000000" w:themeColor="text1"/>
        </w:rPr>
        <w:t>ãi chôn lấp không chỉ hiệu quả chưa cao</w:t>
      </w:r>
      <w:r w:rsidR="004E555B">
        <w:rPr>
          <w:color w:val="000000" w:themeColor="text1"/>
        </w:rPr>
        <w:t xml:space="preserve"> mà còn ảnh hưởng đến sức khoẻ của </w:t>
      </w:r>
      <w:r w:rsidR="00FA34D2">
        <w:rPr>
          <w:color w:val="000000" w:themeColor="text1"/>
        </w:rPr>
        <w:t>công nhân và người nhặt ve chai.</w:t>
      </w:r>
      <w:r w:rsidR="0010191B">
        <w:rPr>
          <w:color w:val="000000" w:themeColor="text1"/>
        </w:rPr>
        <w:t xml:space="preserve"> </w:t>
      </w:r>
    </w:p>
    <w:p w14:paraId="63AF4DE6" w14:textId="515FB8FA" w:rsidR="0054483F" w:rsidRDefault="0054483F" w:rsidP="003E3F20">
      <w:pPr>
        <w:rPr>
          <w:color w:val="000000" w:themeColor="text1"/>
        </w:rPr>
      </w:pPr>
      <w:r>
        <w:rPr>
          <w:color w:val="000000" w:themeColor="text1"/>
        </w:rPr>
        <w:t xml:space="preserve">Tái sử dụng CTR: </w:t>
      </w:r>
      <w:r w:rsidR="00AC5A19">
        <w:rPr>
          <w:color w:val="000000" w:themeColor="text1"/>
        </w:rPr>
        <w:t>Đ</w:t>
      </w:r>
      <w:r>
        <w:rPr>
          <w:color w:val="000000" w:themeColor="text1"/>
        </w:rPr>
        <w:t>ây là phương pháp hữu ích vì không phải thêm chi phí cho xử lý CTR. Còn hơn 11% nhựa trong CTR tại BCL, có thể thu hồi và áp dụng các hoạt động tái sử dụng nó.</w:t>
      </w:r>
    </w:p>
    <w:p w14:paraId="5F3D4ED7" w14:textId="4AAB1132" w:rsidR="0054483F" w:rsidRDefault="00C15DBE" w:rsidP="003E3F20">
      <w:pPr>
        <w:rPr>
          <w:color w:val="000000" w:themeColor="text1"/>
        </w:rPr>
      </w:pPr>
      <w:r>
        <w:rPr>
          <w:color w:val="000000" w:themeColor="text1"/>
        </w:rPr>
        <w:t xml:space="preserve">Phát triển các sản phẩm xanh và chế phẩm sinh học: Quản lý CTR bền vững tại TPBMT cần lưu ý đến các sản phẩm xanh và chế phẩm sinh học bởi tính thân thiện môi trường và tính hữu dụng của chúng. </w:t>
      </w:r>
      <w:r w:rsidR="004B37F5">
        <w:rPr>
          <w:color w:val="000000" w:themeColor="text1"/>
        </w:rPr>
        <w:t xml:space="preserve">Hiện tại, ngoại thành Buôn Ma Thuột vẫn diễn ra các hoạt động nông nghiệp như: trồng rau, hoa màu, cà phê, lúa… Cùng với chất thải rắn nông nghiệp, rác thải hữu cơ chiếm 74,8% tổng lượng CTR của thành phố </w:t>
      </w:r>
      <w:r w:rsidR="00B314C8">
        <w:rPr>
          <w:color w:val="000000" w:themeColor="text1"/>
        </w:rPr>
        <w:t>sẽ là nguồn sản xuất phân compost rất tốt, có thể đem l</w:t>
      </w:r>
      <w:r w:rsidR="00236232">
        <w:rPr>
          <w:color w:val="000000" w:themeColor="text1"/>
        </w:rPr>
        <w:t>ạ</w:t>
      </w:r>
      <w:r w:rsidR="00B314C8">
        <w:rPr>
          <w:color w:val="000000" w:themeColor="text1"/>
        </w:rPr>
        <w:t>i giá trị kinh tế cao.</w:t>
      </w:r>
    </w:p>
    <w:p w14:paraId="5D2C2B28" w14:textId="7ED987DA" w:rsidR="001724C7" w:rsidRPr="001F79EC" w:rsidRDefault="00C96E35" w:rsidP="002E199F">
      <w:pPr>
        <w:rPr>
          <w:color w:val="000000" w:themeColor="text1"/>
        </w:rPr>
      </w:pPr>
      <w:r>
        <w:rPr>
          <w:color w:val="000000" w:themeColor="text1"/>
        </w:rPr>
        <w:t xml:space="preserve">Xử lý CTR: Như đã đề cập phần trên, phương thức xử lý CTR của thành phố hiện nay là thải bỏ thiếu kiểm soát ô nhiễm đã bộc lộ nhiều bất cập, gây ô nhiễm môi trường xung quanh. </w:t>
      </w:r>
      <w:r w:rsidR="00CB7B98">
        <w:rPr>
          <w:color w:val="000000" w:themeColor="text1"/>
        </w:rPr>
        <w:t>Cùng với các giải pháp tăng tái sử dụng và tái chế CTR tại các khâu trước, cần xây dựng bãi chôn lấp hợp vệ sinh để xử lý các chất thải còn lại, đảm bảo an toàn môi trường</w:t>
      </w:r>
      <w:r w:rsidR="00E019DA">
        <w:rPr>
          <w:color w:val="000000" w:themeColor="text1"/>
        </w:rPr>
        <w:t>.</w:t>
      </w:r>
    </w:p>
    <w:p w14:paraId="1869C662" w14:textId="77777777" w:rsidR="00494919" w:rsidRDefault="00E368BE" w:rsidP="00E30DF7">
      <w:pPr>
        <w:pStyle w:val="Heading1"/>
      </w:pPr>
      <w:r>
        <w:t>Kết luận</w:t>
      </w:r>
    </w:p>
    <w:p w14:paraId="04507704" w14:textId="76937117" w:rsidR="003F4592" w:rsidRDefault="00596364" w:rsidP="003F4592">
      <w:pPr>
        <w:rPr>
          <w:szCs w:val="20"/>
        </w:rPr>
      </w:pPr>
      <w:r>
        <w:t xml:space="preserve">Nghiên cứu thực nghiệm cho thấy hệ số phát thải trung bình CTR sinh hoạt của TPBMT là </w:t>
      </w:r>
      <w:r w:rsidRPr="002A5FC5">
        <w:rPr>
          <w:szCs w:val="20"/>
        </w:rPr>
        <w:t>0</w:t>
      </w:r>
      <w:r>
        <w:rPr>
          <w:szCs w:val="20"/>
        </w:rPr>
        <w:t>,</w:t>
      </w:r>
      <w:r w:rsidRPr="002A5FC5">
        <w:rPr>
          <w:szCs w:val="20"/>
        </w:rPr>
        <w:t xml:space="preserve">47 </w:t>
      </w:r>
      <w:r w:rsidRPr="002A5FC5">
        <w:rPr>
          <w:szCs w:val="20"/>
        </w:rPr>
        <w:sym w:font="Symbol" w:char="F0B1"/>
      </w:r>
      <w:r w:rsidRPr="002A5FC5">
        <w:rPr>
          <w:szCs w:val="20"/>
        </w:rPr>
        <w:t xml:space="preserve"> 0,03</w:t>
      </w:r>
      <w:r>
        <w:rPr>
          <w:szCs w:val="20"/>
        </w:rPr>
        <w:t xml:space="preserve"> kg/người/ngày</w:t>
      </w:r>
      <w:r w:rsidRPr="009A2DD5">
        <w:rPr>
          <w:szCs w:val="20"/>
          <w:highlight w:val="yellow"/>
        </w:rPr>
        <w:t>, thấp hơn đáng kể so với số liệu phát thải</w:t>
      </w:r>
      <w:r w:rsidR="00D97224" w:rsidRPr="009A2DD5">
        <w:rPr>
          <w:szCs w:val="20"/>
          <w:highlight w:val="yellow"/>
        </w:rPr>
        <w:t xml:space="preserve"> CTR đô thị</w:t>
      </w:r>
      <w:r w:rsidRPr="009A2DD5">
        <w:rPr>
          <w:szCs w:val="20"/>
          <w:highlight w:val="yellow"/>
        </w:rPr>
        <w:t xml:space="preserve"> của Bộ TNMT (2012) </w:t>
      </w:r>
      <w:r w:rsidR="00EB511D" w:rsidRPr="009A2DD5">
        <w:rPr>
          <w:szCs w:val="20"/>
          <w:highlight w:val="yellow"/>
        </w:rPr>
        <w:t xml:space="preserve">với TPBMT </w:t>
      </w:r>
      <w:r w:rsidRPr="009A2DD5">
        <w:rPr>
          <w:szCs w:val="20"/>
          <w:highlight w:val="yellow"/>
        </w:rPr>
        <w:t>là 0,80 kg/người/ngày</w:t>
      </w:r>
      <w:r w:rsidR="00C253E3" w:rsidRPr="009A2DD5">
        <w:rPr>
          <w:szCs w:val="20"/>
          <w:highlight w:val="yellow"/>
        </w:rPr>
        <w:t xml:space="preserve"> và </w:t>
      </w:r>
      <w:r w:rsidR="00EB511D" w:rsidRPr="009A2DD5">
        <w:rPr>
          <w:szCs w:val="20"/>
          <w:highlight w:val="yellow"/>
        </w:rPr>
        <w:t xml:space="preserve">thành phố cấp 1 – Đà Nẵng là 0,83 </w:t>
      </w:r>
      <w:r w:rsidR="00EB511D" w:rsidRPr="009A2DD5">
        <w:rPr>
          <w:szCs w:val="20"/>
          <w:highlight w:val="yellow"/>
        </w:rPr>
        <w:t>kg/người/ngày</w:t>
      </w:r>
      <w:r w:rsidR="00EB511D" w:rsidRPr="009A2DD5">
        <w:rPr>
          <w:szCs w:val="20"/>
          <w:highlight w:val="yellow"/>
        </w:rPr>
        <w:t>.</w:t>
      </w:r>
    </w:p>
    <w:p w14:paraId="513DD7ED" w14:textId="437C14A0" w:rsidR="00B22449" w:rsidRDefault="0074586A" w:rsidP="00B22449">
      <w:r>
        <w:rPr>
          <w:szCs w:val="20"/>
        </w:rPr>
        <w:t xml:space="preserve">Thực nghiệm phân loại thành phần CTR sinh hoạt của TPBMT thể hiện </w:t>
      </w:r>
      <w:r w:rsidR="00053798">
        <w:rPr>
          <w:szCs w:val="20"/>
        </w:rPr>
        <w:t xml:space="preserve">rác hữu cơ </w:t>
      </w:r>
      <w:r>
        <w:t>chiếm tỷ trọng cao nhất, dao động từ 56,28% ở nguồn thải đến 74,8% ở BCL</w:t>
      </w:r>
      <w:r w:rsidR="00B22449">
        <w:t xml:space="preserve"> (với khối lượng hơn 1</w:t>
      </w:r>
      <w:r w:rsidR="00FA6C42">
        <w:t>23</w:t>
      </w:r>
      <w:r w:rsidR="00B22449">
        <w:t>,</w:t>
      </w:r>
      <w:r w:rsidR="00FA6C42">
        <w:t>4</w:t>
      </w:r>
      <w:r w:rsidR="00B22449">
        <w:t xml:space="preserve"> tấn/ngày)</w:t>
      </w:r>
      <w:r w:rsidR="00D30018">
        <w:t>. Tiếp theo sau là nhựa &gt;11,2 %,</w:t>
      </w:r>
      <w:r>
        <w:t xml:space="preserve"> giấy, carton, </w:t>
      </w:r>
      <w:r w:rsidR="00D30018">
        <w:t xml:space="preserve">và </w:t>
      </w:r>
      <w:r>
        <w:t>thuỷ tinh.</w:t>
      </w:r>
      <w:r w:rsidR="00B22449">
        <w:t xml:space="preserve"> </w:t>
      </w:r>
    </w:p>
    <w:p w14:paraId="1575BDE5" w14:textId="3B5E999A" w:rsidR="0074586A" w:rsidRDefault="00B22449" w:rsidP="00B22449">
      <w:r>
        <w:t xml:space="preserve">Khối lượng vật liệu tái chế nhiều nhất là giấy và </w:t>
      </w:r>
      <w:r w:rsidR="008D546B">
        <w:t xml:space="preserve">carton </w:t>
      </w:r>
      <w:r w:rsidR="008D546B">
        <w:lastRenderedPageBreak/>
        <w:t xml:space="preserve">khoảng 20 tấn/ngày, tiếp theo là nhựa hơn 11,8 tấn/ngày, thuỷ tinh hơn 6,5 tấn/ngày và kim loại với hơn 1,73 </w:t>
      </w:r>
      <w:r>
        <w:t>tấn/ngày.</w:t>
      </w:r>
    </w:p>
    <w:p w14:paraId="76A8EC63" w14:textId="28BBCA41" w:rsidR="00B22449" w:rsidRDefault="006869CE" w:rsidP="00B22449">
      <w:r>
        <w:rPr>
          <w:color w:val="000000" w:themeColor="text1"/>
        </w:rPr>
        <w:t>T</w:t>
      </w:r>
      <w:r w:rsidRPr="00B47BC6">
        <w:rPr>
          <w:color w:val="000000" w:themeColor="text1"/>
        </w:rPr>
        <w:t>hành phố</w:t>
      </w:r>
      <w:r>
        <w:rPr>
          <w:color w:val="000000" w:themeColor="text1"/>
        </w:rPr>
        <w:t xml:space="preserve"> cần xây dựng hệ thống quản lý tổng hợp chất thải rắn chú ý đến sự trao đổi vật chất và năng lượng giữa hệ thống đô thị và hệ thống nông nghiệp nông thôn.</w:t>
      </w:r>
    </w:p>
    <w:p w14:paraId="7022422C" w14:textId="595EC443" w:rsidR="00BE3532" w:rsidRPr="00C0314B" w:rsidRDefault="00BE3532" w:rsidP="00BE3532">
      <w:pPr>
        <w:ind w:firstLine="0"/>
        <w:rPr>
          <w:i/>
        </w:rPr>
      </w:pPr>
      <w:r w:rsidRPr="00C0314B">
        <w:rPr>
          <w:b/>
          <w:i/>
        </w:rPr>
        <w:t>Lời cảm ơn:</w:t>
      </w:r>
      <w:r w:rsidRPr="00C0314B">
        <w:rPr>
          <w:i/>
        </w:rPr>
        <w:t xml:space="preserve"> </w:t>
      </w:r>
      <w:r w:rsidR="00DF3484" w:rsidRPr="00C0314B">
        <w:rPr>
          <w:i/>
        </w:rPr>
        <w:t>T</w:t>
      </w:r>
      <w:r w:rsidR="00CD594E" w:rsidRPr="00C0314B">
        <w:rPr>
          <w:i/>
        </w:rPr>
        <w:t xml:space="preserve">ập thể tác giả xin chân thành cảm ơn sự tài trợ kinh phí của đề tài cấp Nhà nước TN3/T21 được thực hiện giữa sự phối hợp giữa Trường Đại học Tây Nguyên và Viện Công nghệ Môi trường, Viện Hàn lâm Khoa học và Công nghệ Việt Nam. Ngoài ra, sự góp sức của nhiều giảng viên và các lớp sinh viên trong quá trình điều tra thực nghiệm đã tạo điều kiện hoàn thành nghiên </w:t>
      </w:r>
      <w:r w:rsidR="003504E2" w:rsidRPr="00C0314B">
        <w:rPr>
          <w:i/>
        </w:rPr>
        <w:t>cứu</w:t>
      </w:r>
      <w:r w:rsidR="00CD594E" w:rsidRPr="00C0314B">
        <w:rPr>
          <w:i/>
        </w:rPr>
        <w:t xml:space="preserve">. </w:t>
      </w:r>
    </w:p>
    <w:p w14:paraId="1DF27AAB" w14:textId="77777777" w:rsidR="005366A9" w:rsidRPr="00054EDF" w:rsidRDefault="008343C2" w:rsidP="005366A9">
      <w:pPr>
        <w:pStyle w:val="11TiliuthamkhoTiu"/>
        <w:rPr>
          <w:szCs w:val="20"/>
        </w:rPr>
      </w:pPr>
      <w:r w:rsidRPr="00054EDF">
        <w:rPr>
          <w:szCs w:val="20"/>
        </w:rPr>
        <w:t>Tài liệu tham khảo</w:t>
      </w:r>
    </w:p>
    <w:p w14:paraId="397EC618" w14:textId="7C5577BB" w:rsidR="005366A9" w:rsidRPr="00C0314B" w:rsidRDefault="00007553" w:rsidP="00996D2B">
      <w:pPr>
        <w:pStyle w:val="10TiliuthamkhoNidung"/>
        <w:ind w:left="284" w:hanging="284"/>
        <w:rPr>
          <w:sz w:val="18"/>
          <w:szCs w:val="16"/>
        </w:rPr>
      </w:pPr>
      <w:r w:rsidRPr="00C0314B">
        <w:rPr>
          <w:sz w:val="18"/>
          <w:szCs w:val="16"/>
        </w:rPr>
        <w:t>Bộ Tài Nguyên và Môi trường, Báo cáo Hiện trạng Môi trường Quốc gia: “Chất thải rắn”</w:t>
      </w:r>
      <w:r w:rsidR="00AF65A4" w:rsidRPr="00C0314B">
        <w:rPr>
          <w:sz w:val="18"/>
          <w:szCs w:val="16"/>
        </w:rPr>
        <w:t xml:space="preserve">, </w:t>
      </w:r>
      <w:r w:rsidR="00AF65A4" w:rsidRPr="00C0314B">
        <w:rPr>
          <w:i/>
          <w:sz w:val="18"/>
          <w:szCs w:val="16"/>
        </w:rPr>
        <w:t xml:space="preserve">Hà Nội, </w:t>
      </w:r>
      <w:r w:rsidR="00AF65A4" w:rsidRPr="00C0314B">
        <w:rPr>
          <w:sz w:val="18"/>
          <w:szCs w:val="16"/>
        </w:rPr>
        <w:t>2012</w:t>
      </w:r>
      <w:r w:rsidR="003E2D0D" w:rsidRPr="00C0314B">
        <w:rPr>
          <w:sz w:val="18"/>
          <w:szCs w:val="16"/>
        </w:rPr>
        <w:t>.</w:t>
      </w:r>
    </w:p>
    <w:p w14:paraId="4F825F5C" w14:textId="58647868" w:rsidR="005366A9" w:rsidRPr="00C0314B" w:rsidRDefault="00682DFE" w:rsidP="00996D2B">
      <w:pPr>
        <w:pStyle w:val="10TiliuthamkhoNidung"/>
        <w:ind w:left="284" w:hanging="284"/>
        <w:rPr>
          <w:sz w:val="18"/>
          <w:szCs w:val="16"/>
        </w:rPr>
      </w:pPr>
      <w:r w:rsidRPr="00C0314B">
        <w:rPr>
          <w:sz w:val="18"/>
          <w:szCs w:val="16"/>
        </w:rPr>
        <w:t xml:space="preserve">Chính phủ nước CHXHCNVN, Quyết định số 2149/QĐ-TTg: Chiến lược quốc gia về Quản lý tổng hợp chất thải rắn đến năm 2025 và tầm nhìn năm 2050”, </w:t>
      </w:r>
      <w:r w:rsidRPr="00C0314B">
        <w:rPr>
          <w:i/>
          <w:sz w:val="18"/>
          <w:szCs w:val="16"/>
        </w:rPr>
        <w:t xml:space="preserve">Hà Nội, </w:t>
      </w:r>
      <w:r w:rsidRPr="00C0314B">
        <w:rPr>
          <w:sz w:val="18"/>
          <w:szCs w:val="16"/>
        </w:rPr>
        <w:t>2009.</w:t>
      </w:r>
    </w:p>
    <w:p w14:paraId="579121B0" w14:textId="23841ECE" w:rsidR="00950E7E" w:rsidRPr="00C0314B" w:rsidRDefault="00C268B9" w:rsidP="00996D2B">
      <w:pPr>
        <w:pStyle w:val="10TiliuthamkhoNidung"/>
        <w:ind w:left="284" w:hanging="284"/>
        <w:rPr>
          <w:sz w:val="18"/>
          <w:szCs w:val="16"/>
        </w:rPr>
      </w:pPr>
      <w:r w:rsidRPr="00C0314B">
        <w:rPr>
          <w:sz w:val="18"/>
          <w:szCs w:val="16"/>
        </w:rPr>
        <w:t>Trần Trung Dũng, Nguyễn Hoàng Phương, Trịnh Văn Tuyên và cs (2015), Điều tra, đánh giá hi</w:t>
      </w:r>
      <w:r w:rsidR="00AF2CA4" w:rsidRPr="00C0314B">
        <w:rPr>
          <w:sz w:val="18"/>
          <w:szCs w:val="16"/>
        </w:rPr>
        <w:t>ệ</w:t>
      </w:r>
      <w:r w:rsidRPr="00C0314B">
        <w:rPr>
          <w:sz w:val="18"/>
          <w:szCs w:val="16"/>
        </w:rPr>
        <w:t>n trạng thu gom, v</w:t>
      </w:r>
      <w:r w:rsidR="00AF2CA4" w:rsidRPr="00C0314B">
        <w:rPr>
          <w:sz w:val="18"/>
          <w:szCs w:val="16"/>
        </w:rPr>
        <w:t>ậ</w:t>
      </w:r>
      <w:r w:rsidRPr="00C0314B">
        <w:rPr>
          <w:sz w:val="18"/>
          <w:szCs w:val="16"/>
        </w:rPr>
        <w:t>n chuyển và xử lý chất thải rắn các tỉnh T</w:t>
      </w:r>
      <w:r w:rsidR="00AF2CA4" w:rsidRPr="00C0314B">
        <w:rPr>
          <w:sz w:val="18"/>
          <w:szCs w:val="16"/>
        </w:rPr>
        <w:t>â</w:t>
      </w:r>
      <w:r w:rsidRPr="00C0314B">
        <w:rPr>
          <w:sz w:val="18"/>
          <w:szCs w:val="16"/>
        </w:rPr>
        <w:t>y Nguy</w:t>
      </w:r>
      <w:r w:rsidR="00AF2CA4" w:rsidRPr="00C0314B">
        <w:rPr>
          <w:sz w:val="18"/>
          <w:szCs w:val="16"/>
        </w:rPr>
        <w:t>ê</w:t>
      </w:r>
      <w:r w:rsidRPr="00C0314B">
        <w:rPr>
          <w:sz w:val="18"/>
          <w:szCs w:val="16"/>
        </w:rPr>
        <w:t>n và đề xuất ph</w:t>
      </w:r>
      <w:r w:rsidR="00AF2CA4" w:rsidRPr="00C0314B">
        <w:rPr>
          <w:rFonts w:ascii="Times New Roman" w:eastAsia="Calibri" w:hAnsi="Times New Roman"/>
          <w:sz w:val="18"/>
          <w:szCs w:val="16"/>
        </w:rPr>
        <w:t>ươ</w:t>
      </w:r>
      <w:r w:rsidRPr="00C0314B">
        <w:rPr>
          <w:sz w:val="18"/>
          <w:szCs w:val="16"/>
        </w:rPr>
        <w:t>ng án quy hoạch, xử lý và quản lý</w:t>
      </w:r>
      <w:r w:rsidR="00AF2CA4" w:rsidRPr="00C0314B">
        <w:rPr>
          <w:sz w:val="18"/>
          <w:szCs w:val="16"/>
        </w:rPr>
        <w:t xml:space="preserve"> </w:t>
      </w:r>
      <w:r w:rsidRPr="00C0314B">
        <w:rPr>
          <w:sz w:val="18"/>
          <w:szCs w:val="16"/>
        </w:rPr>
        <w:t>chất thải rắn phù hợp đến n</w:t>
      </w:r>
      <w:r w:rsidR="00AF2CA4" w:rsidRPr="00C0314B">
        <w:rPr>
          <w:sz w:val="18"/>
          <w:szCs w:val="16"/>
        </w:rPr>
        <w:t>ă</w:t>
      </w:r>
      <w:r w:rsidRPr="00C0314B">
        <w:rPr>
          <w:sz w:val="18"/>
          <w:szCs w:val="16"/>
        </w:rPr>
        <w:t>m 2020</w:t>
      </w:r>
      <w:r w:rsidR="00AF2CA4" w:rsidRPr="00C0314B">
        <w:rPr>
          <w:sz w:val="18"/>
          <w:szCs w:val="16"/>
        </w:rPr>
        <w:t xml:space="preserve">. Đề tài cấp Nhà nước (TN3/T21) thuộc Chương trình Tây Nguyên 3, </w:t>
      </w:r>
      <w:r w:rsidR="00AF2CA4" w:rsidRPr="00C0314B">
        <w:rPr>
          <w:i/>
          <w:sz w:val="18"/>
          <w:szCs w:val="16"/>
        </w:rPr>
        <w:t>Viện Hàn lâm Khoa học Công nghệ Việt Nam.</w:t>
      </w:r>
      <w:r w:rsidR="005366A9" w:rsidRPr="00C0314B">
        <w:rPr>
          <w:sz w:val="18"/>
          <w:szCs w:val="16"/>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7"/>
      </w:tblGrid>
      <w:tr w:rsidR="003A11DD" w:rsidRPr="00C0314B" w14:paraId="0D891B8D" w14:textId="77777777" w:rsidTr="000B7826">
        <w:trPr>
          <w:trHeight w:val="191"/>
          <w:tblCellSpacing w:w="15" w:type="dxa"/>
        </w:trPr>
        <w:tc>
          <w:tcPr>
            <w:tcW w:w="4937" w:type="pct"/>
            <w:shd w:val="clear" w:color="auto" w:fill="auto"/>
            <w:hideMark/>
          </w:tcPr>
          <w:p w14:paraId="1B1F6147" w14:textId="5139B7D4" w:rsidR="00152781" w:rsidRPr="00C0314B" w:rsidRDefault="00120661" w:rsidP="00996D2B">
            <w:pPr>
              <w:pStyle w:val="10TiliuthamkhoNidung"/>
              <w:ind w:left="284" w:hanging="284"/>
              <w:rPr>
                <w:sz w:val="18"/>
                <w:szCs w:val="16"/>
              </w:rPr>
            </w:pPr>
            <w:r w:rsidRPr="00C0314B">
              <w:rPr>
                <w:sz w:val="18"/>
                <w:szCs w:val="16"/>
              </w:rPr>
              <w:t xml:space="preserve">Chính phủ nước CHXHCNVN, Quyết định số 249/QĐ-TTg: Phê duyệt Điều chỉnh Quy hoạch chung thành phố Buôn Ma Thuột, tỉnh Đắk Lắk đến năm 2025, </w:t>
            </w:r>
            <w:r w:rsidRPr="00C0314B">
              <w:rPr>
                <w:i/>
                <w:sz w:val="18"/>
                <w:szCs w:val="16"/>
              </w:rPr>
              <w:t xml:space="preserve">Hà Nội, </w:t>
            </w:r>
            <w:r w:rsidRPr="00C0314B">
              <w:rPr>
                <w:sz w:val="18"/>
                <w:szCs w:val="16"/>
              </w:rPr>
              <w:t>2014.</w:t>
            </w:r>
          </w:p>
          <w:p w14:paraId="21492124" w14:textId="225EDF3B" w:rsidR="003A11DD" w:rsidRPr="00C0314B" w:rsidRDefault="00996D2B" w:rsidP="00996D2B">
            <w:pPr>
              <w:pStyle w:val="10TiliuthamkhoNidung"/>
              <w:ind w:left="284" w:hanging="284"/>
              <w:rPr>
                <w:sz w:val="18"/>
                <w:szCs w:val="16"/>
              </w:rPr>
            </w:pPr>
            <w:r w:rsidRPr="00C0314B">
              <w:rPr>
                <w:sz w:val="18"/>
                <w:szCs w:val="16"/>
              </w:rPr>
              <w:t xml:space="preserve">UNEP, </w:t>
            </w:r>
            <w:r w:rsidR="003A11DD" w:rsidRPr="00C0314B">
              <w:rPr>
                <w:sz w:val="18"/>
                <w:szCs w:val="16"/>
              </w:rPr>
              <w:t xml:space="preserve">Volume 4: ISWM Plan, </w:t>
            </w:r>
            <w:r w:rsidR="003A11DD" w:rsidRPr="00C0314B">
              <w:rPr>
                <w:iCs/>
                <w:sz w:val="18"/>
                <w:szCs w:val="16"/>
              </w:rPr>
              <w:t>Developing Intergrated Solid Waste Management Plan</w:t>
            </w:r>
            <w:r w:rsidR="003A11DD" w:rsidRPr="00C0314B">
              <w:rPr>
                <w:sz w:val="18"/>
                <w:szCs w:val="16"/>
              </w:rPr>
              <w:t xml:space="preserve">, </w:t>
            </w:r>
            <w:r w:rsidR="003A11DD" w:rsidRPr="00C0314B">
              <w:rPr>
                <w:i/>
                <w:sz w:val="18"/>
                <w:szCs w:val="16"/>
              </w:rPr>
              <w:t>UNEP</w:t>
            </w:r>
            <w:r w:rsidR="003A11DD" w:rsidRPr="00C0314B">
              <w:rPr>
                <w:sz w:val="18"/>
                <w:szCs w:val="16"/>
              </w:rPr>
              <w:t>, Osaka, Japan, 2009, pp. 47.</w:t>
            </w:r>
          </w:p>
        </w:tc>
      </w:tr>
      <w:tr w:rsidR="003A11DD" w:rsidRPr="00C0314B" w14:paraId="7C53669E" w14:textId="77777777" w:rsidTr="000B7826">
        <w:trPr>
          <w:trHeight w:val="371"/>
          <w:tblCellSpacing w:w="15" w:type="dxa"/>
        </w:trPr>
        <w:tc>
          <w:tcPr>
            <w:tcW w:w="4937" w:type="pct"/>
            <w:shd w:val="clear" w:color="auto" w:fill="auto"/>
            <w:hideMark/>
          </w:tcPr>
          <w:p w14:paraId="5FF2AFE9" w14:textId="0E84BF77" w:rsidR="003A11DD" w:rsidRPr="00C0314B" w:rsidRDefault="003A11DD" w:rsidP="00996D2B">
            <w:pPr>
              <w:pStyle w:val="10TiliuthamkhoNidung"/>
              <w:ind w:left="284" w:hanging="284"/>
              <w:rPr>
                <w:sz w:val="18"/>
                <w:szCs w:val="16"/>
              </w:rPr>
            </w:pPr>
            <w:r w:rsidRPr="00C0314B">
              <w:rPr>
                <w:sz w:val="18"/>
                <w:szCs w:val="16"/>
                <w:lang w:val="vi-VN"/>
              </w:rPr>
              <w:t>UNEP</w:t>
            </w:r>
            <w:r w:rsidR="00996D2B" w:rsidRPr="00C0314B">
              <w:rPr>
                <w:sz w:val="18"/>
                <w:szCs w:val="16"/>
              </w:rPr>
              <w:t xml:space="preserve">, </w:t>
            </w:r>
            <w:r w:rsidRPr="00C0314B">
              <w:rPr>
                <w:sz w:val="18"/>
                <w:szCs w:val="16"/>
                <w:lang w:val="vi-VN"/>
              </w:rPr>
              <w:t xml:space="preserve">Volume 1: Waste Characterization and Qualification with Projections for Future, </w:t>
            </w:r>
            <w:r w:rsidRPr="00C0314B">
              <w:rPr>
                <w:iCs/>
                <w:sz w:val="18"/>
                <w:szCs w:val="16"/>
              </w:rPr>
              <w:t>Developing Intergrated Solid Waste Management Plan</w:t>
            </w:r>
            <w:r w:rsidRPr="00C0314B">
              <w:rPr>
                <w:sz w:val="18"/>
                <w:szCs w:val="16"/>
              </w:rPr>
              <w:t xml:space="preserve">, </w:t>
            </w:r>
            <w:r w:rsidRPr="00C0314B">
              <w:rPr>
                <w:i/>
                <w:sz w:val="18"/>
                <w:szCs w:val="16"/>
                <w:lang w:val="vi-VN"/>
              </w:rPr>
              <w:t>UNEP,</w:t>
            </w:r>
            <w:r w:rsidRPr="00C0314B">
              <w:rPr>
                <w:sz w:val="18"/>
                <w:szCs w:val="16"/>
                <w:lang w:val="vi-VN"/>
              </w:rPr>
              <w:t xml:space="preserve"> Osaka, 2009, pp. 7-8.</w:t>
            </w:r>
          </w:p>
        </w:tc>
      </w:tr>
    </w:tbl>
    <w:p w14:paraId="168F2863" w14:textId="77777777" w:rsidR="00FC02FD" w:rsidRPr="00C0314B" w:rsidRDefault="000B7826" w:rsidP="00FC02FD">
      <w:pPr>
        <w:pStyle w:val="10TiliuthamkhoNidung"/>
        <w:ind w:left="284" w:hanging="284"/>
        <w:rPr>
          <w:color w:val="000000" w:themeColor="text1"/>
          <w:sz w:val="18"/>
          <w:szCs w:val="16"/>
        </w:rPr>
      </w:pPr>
      <w:r w:rsidRPr="00C0314B">
        <w:rPr>
          <w:color w:val="000000" w:themeColor="text1"/>
          <w:sz w:val="18"/>
          <w:szCs w:val="16"/>
        </w:rPr>
        <w:t xml:space="preserve">Tohru Morioka, Keisuke Hanaki, Yuichi Moriguch </w:t>
      </w:r>
      <w:r w:rsidR="007874E6" w:rsidRPr="00C0314B">
        <w:rPr>
          <w:color w:val="000000" w:themeColor="text1"/>
          <w:sz w:val="18"/>
          <w:szCs w:val="16"/>
        </w:rPr>
        <w:t>(2011),</w:t>
      </w:r>
      <w:r w:rsidRPr="00C0314B">
        <w:rPr>
          <w:color w:val="000000" w:themeColor="text1"/>
          <w:sz w:val="18"/>
          <w:szCs w:val="16"/>
        </w:rPr>
        <w:t xml:space="preserve"> Establishing a Resource-Circulating Society in Asia: Challenges and Opportunities. </w:t>
      </w:r>
      <w:r w:rsidRPr="00C0314B">
        <w:rPr>
          <w:i/>
          <w:color w:val="000000" w:themeColor="text1"/>
          <w:sz w:val="18"/>
          <w:szCs w:val="16"/>
        </w:rPr>
        <w:t>United Nations University Press.</w:t>
      </w:r>
      <w:r w:rsidR="007874E6" w:rsidRPr="00C0314B">
        <w:rPr>
          <w:color w:val="000000" w:themeColor="text1"/>
          <w:sz w:val="18"/>
          <w:szCs w:val="16"/>
        </w:rPr>
        <w:t xml:space="preserve"> </w:t>
      </w:r>
    </w:p>
    <w:p w14:paraId="39CAD295" w14:textId="01E6674B" w:rsidR="00996D2B" w:rsidRPr="002E199F" w:rsidRDefault="00996D2B" w:rsidP="002E199F">
      <w:pPr>
        <w:pStyle w:val="10TiliuthamkhoNidung"/>
        <w:ind w:left="284" w:hanging="284"/>
        <w:rPr>
          <w:color w:val="000000" w:themeColor="text1"/>
          <w:sz w:val="18"/>
        </w:rPr>
      </w:pPr>
      <w:r w:rsidRPr="00C0314B">
        <w:rPr>
          <w:sz w:val="18"/>
          <w:szCs w:val="16"/>
        </w:rPr>
        <w:t xml:space="preserve">Kaosol T. (2009), Sustainable Solutions for Municipal Solid Waste Management in Thailand, </w:t>
      </w:r>
      <w:r w:rsidRPr="00C0314B">
        <w:rPr>
          <w:i/>
          <w:sz w:val="18"/>
          <w:szCs w:val="16"/>
        </w:rPr>
        <w:t>World Academy of Scie</w:t>
      </w:r>
      <w:r w:rsidR="007364E4" w:rsidRPr="00C0314B">
        <w:rPr>
          <w:i/>
          <w:sz w:val="18"/>
          <w:szCs w:val="16"/>
        </w:rPr>
        <w:t>nce, Engineering and Technology</w:t>
      </w:r>
      <w:r w:rsidRPr="00C0314B">
        <w:rPr>
          <w:sz w:val="18"/>
          <w:szCs w:val="16"/>
        </w:rPr>
        <w:t>, 666-671.</w:t>
      </w:r>
    </w:p>
    <w:p w14:paraId="55F1368A" w14:textId="77777777" w:rsidR="00A43293" w:rsidRPr="00A43293" w:rsidRDefault="00A43293" w:rsidP="00704973">
      <w:pPr>
        <w:ind w:firstLine="0"/>
        <w:sectPr w:rsidR="00A43293" w:rsidRPr="00A43293" w:rsidSect="00680995">
          <w:type w:val="continuous"/>
          <w:pgSz w:w="10773" w:h="15026" w:code="9"/>
          <w:pgMar w:top="567" w:right="567" w:bottom="567" w:left="567" w:header="284" w:footer="284" w:gutter="0"/>
          <w:cols w:num="2" w:space="284"/>
          <w:docGrid w:linePitch="360"/>
        </w:sectPr>
      </w:pPr>
    </w:p>
    <w:p w14:paraId="0C75F9B8" w14:textId="77777777" w:rsidR="00523452" w:rsidRDefault="00523452" w:rsidP="002E199F">
      <w:pPr>
        <w:ind w:firstLine="0"/>
        <w:jc w:val="center"/>
      </w:pPr>
    </w:p>
    <w:p w14:paraId="0B4EC613" w14:textId="4226607F" w:rsidR="00366F9C" w:rsidRDefault="005D3E24" w:rsidP="002E199F">
      <w:pPr>
        <w:ind w:firstLine="0"/>
        <w:jc w:val="center"/>
      </w:pPr>
      <w:r w:rsidRPr="00F20487">
        <w:t xml:space="preserve">(BBT nhận bài: </w:t>
      </w:r>
      <w:r>
        <w:t>…/…</w:t>
      </w:r>
      <w:r w:rsidRPr="00F20487">
        <w:t>/</w:t>
      </w:r>
      <w:r>
        <w:t>2016</w:t>
      </w:r>
      <w:r w:rsidRPr="00F20487">
        <w:t xml:space="preserve">, </w:t>
      </w:r>
      <w:r>
        <w:t>phản biện xong</w:t>
      </w:r>
      <w:r w:rsidRPr="00F20487">
        <w:t xml:space="preserve">: </w:t>
      </w:r>
      <w:r>
        <w:t>…/…/2016</w:t>
      </w:r>
      <w:r w:rsidRPr="00F20487">
        <w:t>)</w:t>
      </w:r>
    </w:p>
    <w:p w14:paraId="5553AF17" w14:textId="77777777" w:rsidR="009818AE" w:rsidRPr="006C3095" w:rsidRDefault="009818AE" w:rsidP="00F24771">
      <w:pPr>
        <w:jc w:val="right"/>
      </w:pPr>
    </w:p>
    <w:sectPr w:rsidR="009818AE" w:rsidRPr="006C3095"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0D228" w14:textId="77777777" w:rsidR="00EB4A3D" w:rsidRDefault="00EB4A3D">
      <w:r>
        <w:separator/>
      </w:r>
    </w:p>
  </w:endnote>
  <w:endnote w:type="continuationSeparator" w:id="0">
    <w:p w14:paraId="5FACE2AE" w14:textId="77777777" w:rsidR="00EB4A3D" w:rsidRDefault="00EB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nTime">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EABF8" w14:textId="77777777" w:rsidR="0054483F" w:rsidRDefault="005448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B078" w14:textId="77777777" w:rsidR="0054483F" w:rsidRDefault="005448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A5D8B" w14:textId="77777777" w:rsidR="00EB4A3D" w:rsidRDefault="00EB4A3D">
      <w:r>
        <w:separator/>
      </w:r>
    </w:p>
  </w:footnote>
  <w:footnote w:type="continuationSeparator" w:id="0">
    <w:p w14:paraId="1589101A" w14:textId="77777777" w:rsidR="00EB4A3D" w:rsidRDefault="00EB4A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46256" w14:textId="77777777" w:rsidR="0054483F" w:rsidRPr="003F4592" w:rsidRDefault="0054483F" w:rsidP="003F4592">
    <w:pPr>
      <w:pStyle w:val="Header"/>
      <w:pBdr>
        <w:bottom w:val="single" w:sz="4" w:space="1" w:color="auto"/>
      </w:pBdr>
    </w:pPr>
    <w:r w:rsidRPr="003F4592">
      <w:t>Tên tác giả</w:t>
    </w:r>
    <w:r>
      <w:tab/>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EC5E" w14:textId="44CD64E4" w:rsidR="0054483F" w:rsidRPr="003F4592" w:rsidRDefault="0054483F"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A2469A">
      <w:rPr>
        <w:noProof/>
      </w:rPr>
      <w:t>1</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3A674" w14:textId="1EF7CE20" w:rsidR="0054483F" w:rsidRPr="003F4592" w:rsidRDefault="0054483F" w:rsidP="003F4592">
    <w:pPr>
      <w:pStyle w:val="Header"/>
      <w:pBdr>
        <w:bottom w:val="single" w:sz="4" w:space="1" w:color="auto"/>
      </w:pBdr>
    </w:pPr>
    <w:r>
      <w:tab/>
    </w:r>
    <w:r>
      <w:fldChar w:fldCharType="begin"/>
    </w:r>
    <w:r>
      <w:instrText xml:space="preserve"> PAGE   \* MERGEFORMAT </w:instrText>
    </w:r>
    <w:r>
      <w:fldChar w:fldCharType="separate"/>
    </w:r>
    <w:r w:rsidR="00FB2080">
      <w:rPr>
        <w:noProof/>
      </w:rPr>
      <w:t>2</w:t>
    </w:r>
    <w:r>
      <w:rPr>
        <w:noProof/>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982A7" w14:textId="417066B5" w:rsidR="0054483F" w:rsidRPr="003F4592" w:rsidRDefault="0054483F"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FB2080">
      <w:rPr>
        <w:noProof/>
      </w:rPr>
      <w:t>3</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468F"/>
    <w:multiLevelType w:val="multilevel"/>
    <w:tmpl w:val="249A880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i/>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nsid w:val="1E4F72E9"/>
    <w:multiLevelType w:val="hybridMultilevel"/>
    <w:tmpl w:val="42DC4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736D2"/>
    <w:multiLevelType w:val="hybridMultilevel"/>
    <w:tmpl w:val="46EE88E6"/>
    <w:lvl w:ilvl="0" w:tplc="6828413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num w:numId="1">
    <w:abstractNumId w:val="3"/>
  </w:num>
  <w:num w:numId="2">
    <w:abstractNumId w:val="0"/>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removePersonalInformation/>
  <w:removeDateAndTime/>
  <w:embedTrueTypeFonts/>
  <w:saveSubsetFonts/>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B2"/>
    <w:rsid w:val="0000284D"/>
    <w:rsid w:val="000029F7"/>
    <w:rsid w:val="00003351"/>
    <w:rsid w:val="00003682"/>
    <w:rsid w:val="00007553"/>
    <w:rsid w:val="0001000C"/>
    <w:rsid w:val="0001456B"/>
    <w:rsid w:val="00014801"/>
    <w:rsid w:val="00016D8C"/>
    <w:rsid w:val="00020A45"/>
    <w:rsid w:val="00020BDB"/>
    <w:rsid w:val="0002129F"/>
    <w:rsid w:val="0002324C"/>
    <w:rsid w:val="000240A9"/>
    <w:rsid w:val="000245E3"/>
    <w:rsid w:val="00026DB8"/>
    <w:rsid w:val="00027BEC"/>
    <w:rsid w:val="00034784"/>
    <w:rsid w:val="00034D6F"/>
    <w:rsid w:val="00035B6A"/>
    <w:rsid w:val="00037E28"/>
    <w:rsid w:val="00037EE6"/>
    <w:rsid w:val="000414B9"/>
    <w:rsid w:val="000417A9"/>
    <w:rsid w:val="0004621E"/>
    <w:rsid w:val="00046239"/>
    <w:rsid w:val="000476CB"/>
    <w:rsid w:val="0005352A"/>
    <w:rsid w:val="00053798"/>
    <w:rsid w:val="00054279"/>
    <w:rsid w:val="00054AC5"/>
    <w:rsid w:val="00054EDF"/>
    <w:rsid w:val="000562F4"/>
    <w:rsid w:val="00060989"/>
    <w:rsid w:val="00064623"/>
    <w:rsid w:val="00066EA0"/>
    <w:rsid w:val="0006703E"/>
    <w:rsid w:val="00067C60"/>
    <w:rsid w:val="00071182"/>
    <w:rsid w:val="00071CFB"/>
    <w:rsid w:val="00080DFE"/>
    <w:rsid w:val="00083590"/>
    <w:rsid w:val="000847A4"/>
    <w:rsid w:val="00090230"/>
    <w:rsid w:val="0009035A"/>
    <w:rsid w:val="000940FB"/>
    <w:rsid w:val="000953E6"/>
    <w:rsid w:val="0009625B"/>
    <w:rsid w:val="00097681"/>
    <w:rsid w:val="000A0BFE"/>
    <w:rsid w:val="000A1C28"/>
    <w:rsid w:val="000A3AF9"/>
    <w:rsid w:val="000A6D9E"/>
    <w:rsid w:val="000A7ACE"/>
    <w:rsid w:val="000B6166"/>
    <w:rsid w:val="000B6BBA"/>
    <w:rsid w:val="000B72B3"/>
    <w:rsid w:val="000B774A"/>
    <w:rsid w:val="000B7826"/>
    <w:rsid w:val="000C0109"/>
    <w:rsid w:val="000C1B38"/>
    <w:rsid w:val="000C66AF"/>
    <w:rsid w:val="000D25E4"/>
    <w:rsid w:val="000D4DBD"/>
    <w:rsid w:val="000D5396"/>
    <w:rsid w:val="000E443B"/>
    <w:rsid w:val="000E4587"/>
    <w:rsid w:val="000E4D01"/>
    <w:rsid w:val="000E4E5F"/>
    <w:rsid w:val="000F1230"/>
    <w:rsid w:val="000F469F"/>
    <w:rsid w:val="0010191B"/>
    <w:rsid w:val="0010263D"/>
    <w:rsid w:val="001066BD"/>
    <w:rsid w:val="00107A87"/>
    <w:rsid w:val="00110C2F"/>
    <w:rsid w:val="00111684"/>
    <w:rsid w:val="00112D39"/>
    <w:rsid w:val="00113608"/>
    <w:rsid w:val="001144EA"/>
    <w:rsid w:val="0011467B"/>
    <w:rsid w:val="00116652"/>
    <w:rsid w:val="00117CB0"/>
    <w:rsid w:val="00120661"/>
    <w:rsid w:val="001209E8"/>
    <w:rsid w:val="00121143"/>
    <w:rsid w:val="00122063"/>
    <w:rsid w:val="00123042"/>
    <w:rsid w:val="00125C9E"/>
    <w:rsid w:val="001277D7"/>
    <w:rsid w:val="00127C7C"/>
    <w:rsid w:val="00133F6B"/>
    <w:rsid w:val="00136481"/>
    <w:rsid w:val="001364AE"/>
    <w:rsid w:val="001408A7"/>
    <w:rsid w:val="00141A82"/>
    <w:rsid w:val="001422D3"/>
    <w:rsid w:val="001444BF"/>
    <w:rsid w:val="00145BBE"/>
    <w:rsid w:val="0014633C"/>
    <w:rsid w:val="00146718"/>
    <w:rsid w:val="00146DC0"/>
    <w:rsid w:val="00152781"/>
    <w:rsid w:val="00165B4A"/>
    <w:rsid w:val="00165E83"/>
    <w:rsid w:val="00166DF1"/>
    <w:rsid w:val="00170F03"/>
    <w:rsid w:val="00170F6E"/>
    <w:rsid w:val="001724C7"/>
    <w:rsid w:val="00173254"/>
    <w:rsid w:val="00173F8B"/>
    <w:rsid w:val="001755F4"/>
    <w:rsid w:val="00176223"/>
    <w:rsid w:val="00177427"/>
    <w:rsid w:val="00180787"/>
    <w:rsid w:val="00182201"/>
    <w:rsid w:val="00183E3D"/>
    <w:rsid w:val="001855A6"/>
    <w:rsid w:val="00187C21"/>
    <w:rsid w:val="0019186F"/>
    <w:rsid w:val="00194A39"/>
    <w:rsid w:val="00195B27"/>
    <w:rsid w:val="00195F89"/>
    <w:rsid w:val="00197785"/>
    <w:rsid w:val="00197A38"/>
    <w:rsid w:val="001A205A"/>
    <w:rsid w:val="001A2A1D"/>
    <w:rsid w:val="001A34E7"/>
    <w:rsid w:val="001A3843"/>
    <w:rsid w:val="001A3B6A"/>
    <w:rsid w:val="001B1A07"/>
    <w:rsid w:val="001B236C"/>
    <w:rsid w:val="001B2720"/>
    <w:rsid w:val="001B4915"/>
    <w:rsid w:val="001B5B0A"/>
    <w:rsid w:val="001B6AA8"/>
    <w:rsid w:val="001C062B"/>
    <w:rsid w:val="001C2CDE"/>
    <w:rsid w:val="001C3010"/>
    <w:rsid w:val="001C4BBA"/>
    <w:rsid w:val="001C644C"/>
    <w:rsid w:val="001C78A5"/>
    <w:rsid w:val="001D1D00"/>
    <w:rsid w:val="001D777E"/>
    <w:rsid w:val="001E0C81"/>
    <w:rsid w:val="001E2A77"/>
    <w:rsid w:val="001E42EE"/>
    <w:rsid w:val="001E59EC"/>
    <w:rsid w:val="001F01AF"/>
    <w:rsid w:val="001F0466"/>
    <w:rsid w:val="001F1819"/>
    <w:rsid w:val="001F334C"/>
    <w:rsid w:val="001F388B"/>
    <w:rsid w:val="001F3BB1"/>
    <w:rsid w:val="001F6FDC"/>
    <w:rsid w:val="001F7620"/>
    <w:rsid w:val="001F79EC"/>
    <w:rsid w:val="001F7C36"/>
    <w:rsid w:val="001F7CB6"/>
    <w:rsid w:val="00201075"/>
    <w:rsid w:val="00201344"/>
    <w:rsid w:val="00204720"/>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1C37"/>
    <w:rsid w:val="00223F3A"/>
    <w:rsid w:val="00225DD9"/>
    <w:rsid w:val="00226172"/>
    <w:rsid w:val="00232CE2"/>
    <w:rsid w:val="00236232"/>
    <w:rsid w:val="002370CE"/>
    <w:rsid w:val="00237C70"/>
    <w:rsid w:val="0024197B"/>
    <w:rsid w:val="00243675"/>
    <w:rsid w:val="00245F37"/>
    <w:rsid w:val="002479EC"/>
    <w:rsid w:val="0025020D"/>
    <w:rsid w:val="0025117A"/>
    <w:rsid w:val="00251B8E"/>
    <w:rsid w:val="0025214C"/>
    <w:rsid w:val="00253B0D"/>
    <w:rsid w:val="00262171"/>
    <w:rsid w:val="00262BBE"/>
    <w:rsid w:val="00263827"/>
    <w:rsid w:val="0026465C"/>
    <w:rsid w:val="0026568C"/>
    <w:rsid w:val="0026600D"/>
    <w:rsid w:val="00271047"/>
    <w:rsid w:val="00271E22"/>
    <w:rsid w:val="00272FC8"/>
    <w:rsid w:val="002765C0"/>
    <w:rsid w:val="00277D3A"/>
    <w:rsid w:val="00280111"/>
    <w:rsid w:val="00282AAE"/>
    <w:rsid w:val="00285F23"/>
    <w:rsid w:val="0028623C"/>
    <w:rsid w:val="00292963"/>
    <w:rsid w:val="00292B94"/>
    <w:rsid w:val="0029658F"/>
    <w:rsid w:val="00296C21"/>
    <w:rsid w:val="002A06ED"/>
    <w:rsid w:val="002A15D5"/>
    <w:rsid w:val="002A21D0"/>
    <w:rsid w:val="002A3C81"/>
    <w:rsid w:val="002A5FC5"/>
    <w:rsid w:val="002A6752"/>
    <w:rsid w:val="002B085F"/>
    <w:rsid w:val="002B09F4"/>
    <w:rsid w:val="002B315F"/>
    <w:rsid w:val="002B3917"/>
    <w:rsid w:val="002B3C4F"/>
    <w:rsid w:val="002B74BD"/>
    <w:rsid w:val="002C2982"/>
    <w:rsid w:val="002C29E9"/>
    <w:rsid w:val="002C4253"/>
    <w:rsid w:val="002C536B"/>
    <w:rsid w:val="002C58EF"/>
    <w:rsid w:val="002C6CC8"/>
    <w:rsid w:val="002C7569"/>
    <w:rsid w:val="002D0F78"/>
    <w:rsid w:val="002D1EFB"/>
    <w:rsid w:val="002D26E5"/>
    <w:rsid w:val="002D2B3C"/>
    <w:rsid w:val="002D3D2F"/>
    <w:rsid w:val="002D6E74"/>
    <w:rsid w:val="002D7A76"/>
    <w:rsid w:val="002E199F"/>
    <w:rsid w:val="002E2C51"/>
    <w:rsid w:val="002E5295"/>
    <w:rsid w:val="002E5301"/>
    <w:rsid w:val="002E667F"/>
    <w:rsid w:val="002F030D"/>
    <w:rsid w:val="002F07A5"/>
    <w:rsid w:val="002F092B"/>
    <w:rsid w:val="002F10B5"/>
    <w:rsid w:val="002F2651"/>
    <w:rsid w:val="002F3DA2"/>
    <w:rsid w:val="002F61F5"/>
    <w:rsid w:val="00302665"/>
    <w:rsid w:val="003027DE"/>
    <w:rsid w:val="00302F5F"/>
    <w:rsid w:val="0030375A"/>
    <w:rsid w:val="00305789"/>
    <w:rsid w:val="0030597B"/>
    <w:rsid w:val="003079B0"/>
    <w:rsid w:val="00310DA6"/>
    <w:rsid w:val="00311447"/>
    <w:rsid w:val="00312B3D"/>
    <w:rsid w:val="00312ECD"/>
    <w:rsid w:val="00315BD4"/>
    <w:rsid w:val="00321F39"/>
    <w:rsid w:val="00326BFE"/>
    <w:rsid w:val="003303AF"/>
    <w:rsid w:val="003409BF"/>
    <w:rsid w:val="00342414"/>
    <w:rsid w:val="003475DE"/>
    <w:rsid w:val="003504E2"/>
    <w:rsid w:val="0035286B"/>
    <w:rsid w:val="00354411"/>
    <w:rsid w:val="00354ACB"/>
    <w:rsid w:val="00355152"/>
    <w:rsid w:val="003620D5"/>
    <w:rsid w:val="003625E9"/>
    <w:rsid w:val="00363A09"/>
    <w:rsid w:val="00365180"/>
    <w:rsid w:val="00365EE4"/>
    <w:rsid w:val="00366302"/>
    <w:rsid w:val="003664E8"/>
    <w:rsid w:val="00366872"/>
    <w:rsid w:val="00366F9C"/>
    <w:rsid w:val="0037108E"/>
    <w:rsid w:val="0037290C"/>
    <w:rsid w:val="00373662"/>
    <w:rsid w:val="00375BE2"/>
    <w:rsid w:val="00381987"/>
    <w:rsid w:val="0038263E"/>
    <w:rsid w:val="003829C6"/>
    <w:rsid w:val="003857F9"/>
    <w:rsid w:val="003857FF"/>
    <w:rsid w:val="00386E84"/>
    <w:rsid w:val="00391D8C"/>
    <w:rsid w:val="00393EF6"/>
    <w:rsid w:val="0039424B"/>
    <w:rsid w:val="00397C1C"/>
    <w:rsid w:val="003A11DD"/>
    <w:rsid w:val="003A2412"/>
    <w:rsid w:val="003A4A42"/>
    <w:rsid w:val="003A583B"/>
    <w:rsid w:val="003A6380"/>
    <w:rsid w:val="003B2EFE"/>
    <w:rsid w:val="003B3545"/>
    <w:rsid w:val="003B5643"/>
    <w:rsid w:val="003C170D"/>
    <w:rsid w:val="003C3BB7"/>
    <w:rsid w:val="003C3F39"/>
    <w:rsid w:val="003C4D13"/>
    <w:rsid w:val="003C6069"/>
    <w:rsid w:val="003D2DC6"/>
    <w:rsid w:val="003D4204"/>
    <w:rsid w:val="003D43D7"/>
    <w:rsid w:val="003D684D"/>
    <w:rsid w:val="003D7736"/>
    <w:rsid w:val="003E2342"/>
    <w:rsid w:val="003E2D0D"/>
    <w:rsid w:val="003E3F20"/>
    <w:rsid w:val="003E50C9"/>
    <w:rsid w:val="003E6418"/>
    <w:rsid w:val="003E6A1F"/>
    <w:rsid w:val="003E7C23"/>
    <w:rsid w:val="003F2C02"/>
    <w:rsid w:val="003F34D0"/>
    <w:rsid w:val="003F4592"/>
    <w:rsid w:val="003F5354"/>
    <w:rsid w:val="003F5E47"/>
    <w:rsid w:val="003F60E8"/>
    <w:rsid w:val="00400473"/>
    <w:rsid w:val="004027C8"/>
    <w:rsid w:val="0040729C"/>
    <w:rsid w:val="00410B04"/>
    <w:rsid w:val="0041257F"/>
    <w:rsid w:val="00421914"/>
    <w:rsid w:val="004219C5"/>
    <w:rsid w:val="00423111"/>
    <w:rsid w:val="00432979"/>
    <w:rsid w:val="004369D1"/>
    <w:rsid w:val="00436AFB"/>
    <w:rsid w:val="00437B69"/>
    <w:rsid w:val="00441084"/>
    <w:rsid w:val="00444145"/>
    <w:rsid w:val="004459CB"/>
    <w:rsid w:val="004461BC"/>
    <w:rsid w:val="004475F5"/>
    <w:rsid w:val="004505FD"/>
    <w:rsid w:val="0045111A"/>
    <w:rsid w:val="0045198D"/>
    <w:rsid w:val="00452BF4"/>
    <w:rsid w:val="004615E1"/>
    <w:rsid w:val="00462457"/>
    <w:rsid w:val="00463F00"/>
    <w:rsid w:val="004648E2"/>
    <w:rsid w:val="00464F46"/>
    <w:rsid w:val="00464F84"/>
    <w:rsid w:val="00470F1D"/>
    <w:rsid w:val="00471927"/>
    <w:rsid w:val="00471A8E"/>
    <w:rsid w:val="00476D48"/>
    <w:rsid w:val="00477461"/>
    <w:rsid w:val="0048551D"/>
    <w:rsid w:val="00486692"/>
    <w:rsid w:val="00486CBF"/>
    <w:rsid w:val="00491505"/>
    <w:rsid w:val="00491FE4"/>
    <w:rsid w:val="00494919"/>
    <w:rsid w:val="00496805"/>
    <w:rsid w:val="00497521"/>
    <w:rsid w:val="004A1A41"/>
    <w:rsid w:val="004A6700"/>
    <w:rsid w:val="004B07E6"/>
    <w:rsid w:val="004B1F60"/>
    <w:rsid w:val="004B2266"/>
    <w:rsid w:val="004B37F5"/>
    <w:rsid w:val="004B54C2"/>
    <w:rsid w:val="004B67C2"/>
    <w:rsid w:val="004B75D5"/>
    <w:rsid w:val="004C292D"/>
    <w:rsid w:val="004C313F"/>
    <w:rsid w:val="004C4655"/>
    <w:rsid w:val="004C6B6B"/>
    <w:rsid w:val="004D30A4"/>
    <w:rsid w:val="004D37A4"/>
    <w:rsid w:val="004D45DD"/>
    <w:rsid w:val="004E0364"/>
    <w:rsid w:val="004E061B"/>
    <w:rsid w:val="004E555B"/>
    <w:rsid w:val="004E6FBA"/>
    <w:rsid w:val="004F07C3"/>
    <w:rsid w:val="004F1310"/>
    <w:rsid w:val="004F5145"/>
    <w:rsid w:val="004F7680"/>
    <w:rsid w:val="00500864"/>
    <w:rsid w:val="00503FAB"/>
    <w:rsid w:val="00504126"/>
    <w:rsid w:val="005048BE"/>
    <w:rsid w:val="00505FA7"/>
    <w:rsid w:val="00506067"/>
    <w:rsid w:val="00510A88"/>
    <w:rsid w:val="00513340"/>
    <w:rsid w:val="00513B01"/>
    <w:rsid w:val="005165A5"/>
    <w:rsid w:val="00517D7A"/>
    <w:rsid w:val="00520772"/>
    <w:rsid w:val="00520BCF"/>
    <w:rsid w:val="005216EE"/>
    <w:rsid w:val="0052202B"/>
    <w:rsid w:val="00523452"/>
    <w:rsid w:val="00524318"/>
    <w:rsid w:val="005251E5"/>
    <w:rsid w:val="00530906"/>
    <w:rsid w:val="00531929"/>
    <w:rsid w:val="00532A6F"/>
    <w:rsid w:val="0053323C"/>
    <w:rsid w:val="00534068"/>
    <w:rsid w:val="00534643"/>
    <w:rsid w:val="00534989"/>
    <w:rsid w:val="00534B86"/>
    <w:rsid w:val="005366A9"/>
    <w:rsid w:val="00542AE2"/>
    <w:rsid w:val="00542F6E"/>
    <w:rsid w:val="005447FC"/>
    <w:rsid w:val="0054483F"/>
    <w:rsid w:val="00544AF0"/>
    <w:rsid w:val="005463EC"/>
    <w:rsid w:val="00546915"/>
    <w:rsid w:val="00547716"/>
    <w:rsid w:val="00551B5F"/>
    <w:rsid w:val="00552898"/>
    <w:rsid w:val="005548E6"/>
    <w:rsid w:val="00557502"/>
    <w:rsid w:val="00561526"/>
    <w:rsid w:val="00561E9C"/>
    <w:rsid w:val="00564E85"/>
    <w:rsid w:val="0056673E"/>
    <w:rsid w:val="005670B3"/>
    <w:rsid w:val="005700AB"/>
    <w:rsid w:val="005718A5"/>
    <w:rsid w:val="00572678"/>
    <w:rsid w:val="0057352B"/>
    <w:rsid w:val="00573541"/>
    <w:rsid w:val="00573E60"/>
    <w:rsid w:val="005849B5"/>
    <w:rsid w:val="00587D8F"/>
    <w:rsid w:val="00595230"/>
    <w:rsid w:val="00596364"/>
    <w:rsid w:val="005971EE"/>
    <w:rsid w:val="005A1FFB"/>
    <w:rsid w:val="005A25D5"/>
    <w:rsid w:val="005A2699"/>
    <w:rsid w:val="005A50E6"/>
    <w:rsid w:val="005A5F72"/>
    <w:rsid w:val="005A69A9"/>
    <w:rsid w:val="005A7227"/>
    <w:rsid w:val="005B2376"/>
    <w:rsid w:val="005B3ACF"/>
    <w:rsid w:val="005B5EAB"/>
    <w:rsid w:val="005B7D15"/>
    <w:rsid w:val="005C0C0A"/>
    <w:rsid w:val="005C2877"/>
    <w:rsid w:val="005C4AE5"/>
    <w:rsid w:val="005C6467"/>
    <w:rsid w:val="005C64F6"/>
    <w:rsid w:val="005C65CB"/>
    <w:rsid w:val="005C71AE"/>
    <w:rsid w:val="005C759B"/>
    <w:rsid w:val="005D0EAE"/>
    <w:rsid w:val="005D3E24"/>
    <w:rsid w:val="005D4397"/>
    <w:rsid w:val="005D47E3"/>
    <w:rsid w:val="005E01FF"/>
    <w:rsid w:val="005E2F54"/>
    <w:rsid w:val="005E5ACC"/>
    <w:rsid w:val="005E6651"/>
    <w:rsid w:val="005E71B9"/>
    <w:rsid w:val="005F1D3E"/>
    <w:rsid w:val="005F40E9"/>
    <w:rsid w:val="005F64EE"/>
    <w:rsid w:val="005F6C18"/>
    <w:rsid w:val="006003AC"/>
    <w:rsid w:val="006028EB"/>
    <w:rsid w:val="00603316"/>
    <w:rsid w:val="006061F0"/>
    <w:rsid w:val="00606F15"/>
    <w:rsid w:val="00612C69"/>
    <w:rsid w:val="006151DA"/>
    <w:rsid w:val="00616196"/>
    <w:rsid w:val="00617E71"/>
    <w:rsid w:val="00620F19"/>
    <w:rsid w:val="006250F0"/>
    <w:rsid w:val="00625ADA"/>
    <w:rsid w:val="00631A10"/>
    <w:rsid w:val="0063469B"/>
    <w:rsid w:val="00636097"/>
    <w:rsid w:val="006376B4"/>
    <w:rsid w:val="00640AB7"/>
    <w:rsid w:val="00642381"/>
    <w:rsid w:val="006457A8"/>
    <w:rsid w:val="00645E33"/>
    <w:rsid w:val="006506A0"/>
    <w:rsid w:val="00653C7B"/>
    <w:rsid w:val="00655297"/>
    <w:rsid w:val="0065618C"/>
    <w:rsid w:val="00656878"/>
    <w:rsid w:val="00657060"/>
    <w:rsid w:val="00657100"/>
    <w:rsid w:val="00660AA7"/>
    <w:rsid w:val="00661101"/>
    <w:rsid w:val="00663DDE"/>
    <w:rsid w:val="00664F78"/>
    <w:rsid w:val="00672EBC"/>
    <w:rsid w:val="00672FBE"/>
    <w:rsid w:val="00673F03"/>
    <w:rsid w:val="006746FC"/>
    <w:rsid w:val="00674CBA"/>
    <w:rsid w:val="006771CF"/>
    <w:rsid w:val="00680995"/>
    <w:rsid w:val="00681BB3"/>
    <w:rsid w:val="00681F90"/>
    <w:rsid w:val="0068290F"/>
    <w:rsid w:val="00682DFE"/>
    <w:rsid w:val="006869CE"/>
    <w:rsid w:val="00686BBA"/>
    <w:rsid w:val="00687CEC"/>
    <w:rsid w:val="00690851"/>
    <w:rsid w:val="006928B5"/>
    <w:rsid w:val="00692B63"/>
    <w:rsid w:val="00693EFC"/>
    <w:rsid w:val="006943F3"/>
    <w:rsid w:val="0069703A"/>
    <w:rsid w:val="006A0913"/>
    <w:rsid w:val="006A2211"/>
    <w:rsid w:val="006A6EF3"/>
    <w:rsid w:val="006C0213"/>
    <w:rsid w:val="006C127C"/>
    <w:rsid w:val="006C1728"/>
    <w:rsid w:val="006C2455"/>
    <w:rsid w:val="006C3095"/>
    <w:rsid w:val="006C3A5F"/>
    <w:rsid w:val="006D2BCF"/>
    <w:rsid w:val="006D302B"/>
    <w:rsid w:val="006E04CD"/>
    <w:rsid w:val="006E0EC5"/>
    <w:rsid w:val="006E0F50"/>
    <w:rsid w:val="006E155F"/>
    <w:rsid w:val="006E2209"/>
    <w:rsid w:val="006E2CBF"/>
    <w:rsid w:val="006E4210"/>
    <w:rsid w:val="006E5052"/>
    <w:rsid w:val="006F06A0"/>
    <w:rsid w:val="006F1BE6"/>
    <w:rsid w:val="006F701E"/>
    <w:rsid w:val="00700225"/>
    <w:rsid w:val="007008BD"/>
    <w:rsid w:val="00702BB2"/>
    <w:rsid w:val="00704973"/>
    <w:rsid w:val="00704FAE"/>
    <w:rsid w:val="0070652D"/>
    <w:rsid w:val="00706CED"/>
    <w:rsid w:val="007078D5"/>
    <w:rsid w:val="0070791D"/>
    <w:rsid w:val="007120A2"/>
    <w:rsid w:val="007134D6"/>
    <w:rsid w:val="00713910"/>
    <w:rsid w:val="00713F17"/>
    <w:rsid w:val="0071679E"/>
    <w:rsid w:val="007202B5"/>
    <w:rsid w:val="00722CAA"/>
    <w:rsid w:val="007249D0"/>
    <w:rsid w:val="00726691"/>
    <w:rsid w:val="00730277"/>
    <w:rsid w:val="007302B0"/>
    <w:rsid w:val="00731C42"/>
    <w:rsid w:val="00733FBF"/>
    <w:rsid w:val="007348E4"/>
    <w:rsid w:val="007363CE"/>
    <w:rsid w:val="007364E4"/>
    <w:rsid w:val="00736514"/>
    <w:rsid w:val="00737565"/>
    <w:rsid w:val="0074586A"/>
    <w:rsid w:val="00751D2C"/>
    <w:rsid w:val="0075277D"/>
    <w:rsid w:val="00752FF3"/>
    <w:rsid w:val="007554AE"/>
    <w:rsid w:val="00756D26"/>
    <w:rsid w:val="00760E9D"/>
    <w:rsid w:val="007618D0"/>
    <w:rsid w:val="00762843"/>
    <w:rsid w:val="00762BCC"/>
    <w:rsid w:val="007630B9"/>
    <w:rsid w:val="00764AD3"/>
    <w:rsid w:val="0076555C"/>
    <w:rsid w:val="0076600B"/>
    <w:rsid w:val="0076611D"/>
    <w:rsid w:val="00771613"/>
    <w:rsid w:val="007726F1"/>
    <w:rsid w:val="0077356E"/>
    <w:rsid w:val="007736DA"/>
    <w:rsid w:val="00774FA4"/>
    <w:rsid w:val="00784960"/>
    <w:rsid w:val="0078584B"/>
    <w:rsid w:val="007871D2"/>
    <w:rsid w:val="007874E6"/>
    <w:rsid w:val="00791648"/>
    <w:rsid w:val="0079261D"/>
    <w:rsid w:val="00797DEF"/>
    <w:rsid w:val="007A3B65"/>
    <w:rsid w:val="007A49B9"/>
    <w:rsid w:val="007A4A11"/>
    <w:rsid w:val="007A59D3"/>
    <w:rsid w:val="007A74D5"/>
    <w:rsid w:val="007B085F"/>
    <w:rsid w:val="007B1873"/>
    <w:rsid w:val="007B39C7"/>
    <w:rsid w:val="007B548B"/>
    <w:rsid w:val="007C2BAF"/>
    <w:rsid w:val="007C4341"/>
    <w:rsid w:val="007C475A"/>
    <w:rsid w:val="007C4CA8"/>
    <w:rsid w:val="007D0BEE"/>
    <w:rsid w:val="007D1909"/>
    <w:rsid w:val="007D4A42"/>
    <w:rsid w:val="007D7595"/>
    <w:rsid w:val="007D75FC"/>
    <w:rsid w:val="007E4623"/>
    <w:rsid w:val="007E482C"/>
    <w:rsid w:val="007E68AD"/>
    <w:rsid w:val="007F0053"/>
    <w:rsid w:val="007F2F05"/>
    <w:rsid w:val="007F3460"/>
    <w:rsid w:val="007F3D83"/>
    <w:rsid w:val="007F4C0F"/>
    <w:rsid w:val="007F7A08"/>
    <w:rsid w:val="00807D4F"/>
    <w:rsid w:val="00810894"/>
    <w:rsid w:val="00812509"/>
    <w:rsid w:val="008151C0"/>
    <w:rsid w:val="00815D58"/>
    <w:rsid w:val="008274DA"/>
    <w:rsid w:val="00827C14"/>
    <w:rsid w:val="00832034"/>
    <w:rsid w:val="008323BB"/>
    <w:rsid w:val="00832468"/>
    <w:rsid w:val="00832EA3"/>
    <w:rsid w:val="00833D77"/>
    <w:rsid w:val="008343C2"/>
    <w:rsid w:val="00835721"/>
    <w:rsid w:val="008360DE"/>
    <w:rsid w:val="008373BA"/>
    <w:rsid w:val="00843644"/>
    <w:rsid w:val="00843DF0"/>
    <w:rsid w:val="00845445"/>
    <w:rsid w:val="00845721"/>
    <w:rsid w:val="008504EC"/>
    <w:rsid w:val="008506C1"/>
    <w:rsid w:val="0085274E"/>
    <w:rsid w:val="00852DEA"/>
    <w:rsid w:val="008540C0"/>
    <w:rsid w:val="00854FDF"/>
    <w:rsid w:val="00855464"/>
    <w:rsid w:val="008573D8"/>
    <w:rsid w:val="00862702"/>
    <w:rsid w:val="00862FA5"/>
    <w:rsid w:val="00863B0E"/>
    <w:rsid w:val="00871277"/>
    <w:rsid w:val="00873087"/>
    <w:rsid w:val="00874C48"/>
    <w:rsid w:val="00876F10"/>
    <w:rsid w:val="00882F9F"/>
    <w:rsid w:val="00883B78"/>
    <w:rsid w:val="00887BCF"/>
    <w:rsid w:val="00890628"/>
    <w:rsid w:val="00890AE4"/>
    <w:rsid w:val="00891A51"/>
    <w:rsid w:val="00891C93"/>
    <w:rsid w:val="00892EB1"/>
    <w:rsid w:val="008966F7"/>
    <w:rsid w:val="008968C2"/>
    <w:rsid w:val="008A0977"/>
    <w:rsid w:val="008A7A6F"/>
    <w:rsid w:val="008B13FD"/>
    <w:rsid w:val="008B7155"/>
    <w:rsid w:val="008C1BAF"/>
    <w:rsid w:val="008C215E"/>
    <w:rsid w:val="008C3D4B"/>
    <w:rsid w:val="008C4432"/>
    <w:rsid w:val="008C732A"/>
    <w:rsid w:val="008C7A1B"/>
    <w:rsid w:val="008D0870"/>
    <w:rsid w:val="008D0E36"/>
    <w:rsid w:val="008D22F6"/>
    <w:rsid w:val="008D33E0"/>
    <w:rsid w:val="008D3AF1"/>
    <w:rsid w:val="008D3D3B"/>
    <w:rsid w:val="008D546B"/>
    <w:rsid w:val="008D7279"/>
    <w:rsid w:val="008E0D5D"/>
    <w:rsid w:val="008E45B4"/>
    <w:rsid w:val="008F366F"/>
    <w:rsid w:val="00902162"/>
    <w:rsid w:val="009102EB"/>
    <w:rsid w:val="00910346"/>
    <w:rsid w:val="0091265E"/>
    <w:rsid w:val="00912AEE"/>
    <w:rsid w:val="00914C84"/>
    <w:rsid w:val="00916A5B"/>
    <w:rsid w:val="0092075B"/>
    <w:rsid w:val="00922C62"/>
    <w:rsid w:val="00925634"/>
    <w:rsid w:val="0092792C"/>
    <w:rsid w:val="00932EAB"/>
    <w:rsid w:val="00935BDE"/>
    <w:rsid w:val="00937D2B"/>
    <w:rsid w:val="009435A2"/>
    <w:rsid w:val="0094377F"/>
    <w:rsid w:val="00947166"/>
    <w:rsid w:val="00950E7E"/>
    <w:rsid w:val="0095297E"/>
    <w:rsid w:val="009535F5"/>
    <w:rsid w:val="00953E79"/>
    <w:rsid w:val="009545D1"/>
    <w:rsid w:val="009546B4"/>
    <w:rsid w:val="00956604"/>
    <w:rsid w:val="00956F33"/>
    <w:rsid w:val="00960978"/>
    <w:rsid w:val="009618B2"/>
    <w:rsid w:val="00962174"/>
    <w:rsid w:val="009621A2"/>
    <w:rsid w:val="00962795"/>
    <w:rsid w:val="00962C81"/>
    <w:rsid w:val="00967627"/>
    <w:rsid w:val="00974147"/>
    <w:rsid w:val="00974812"/>
    <w:rsid w:val="00976C46"/>
    <w:rsid w:val="009808D7"/>
    <w:rsid w:val="009818AE"/>
    <w:rsid w:val="00982E78"/>
    <w:rsid w:val="00983D92"/>
    <w:rsid w:val="00987A46"/>
    <w:rsid w:val="009915BB"/>
    <w:rsid w:val="00993776"/>
    <w:rsid w:val="00996D2B"/>
    <w:rsid w:val="00997F9A"/>
    <w:rsid w:val="009A12B0"/>
    <w:rsid w:val="009A2A84"/>
    <w:rsid w:val="009A2DD5"/>
    <w:rsid w:val="009A7F60"/>
    <w:rsid w:val="009B39BB"/>
    <w:rsid w:val="009C1E63"/>
    <w:rsid w:val="009C3AF4"/>
    <w:rsid w:val="009C643E"/>
    <w:rsid w:val="009C6441"/>
    <w:rsid w:val="009D2CF4"/>
    <w:rsid w:val="009D2F08"/>
    <w:rsid w:val="009D4327"/>
    <w:rsid w:val="009D45C0"/>
    <w:rsid w:val="009D5151"/>
    <w:rsid w:val="009D78E9"/>
    <w:rsid w:val="009D7AE7"/>
    <w:rsid w:val="009E5D24"/>
    <w:rsid w:val="009F1FE9"/>
    <w:rsid w:val="009F2B69"/>
    <w:rsid w:val="009F2FAE"/>
    <w:rsid w:val="009F4109"/>
    <w:rsid w:val="009F51DF"/>
    <w:rsid w:val="009F5399"/>
    <w:rsid w:val="009F5857"/>
    <w:rsid w:val="00A00A78"/>
    <w:rsid w:val="00A00C22"/>
    <w:rsid w:val="00A01345"/>
    <w:rsid w:val="00A04906"/>
    <w:rsid w:val="00A07BE0"/>
    <w:rsid w:val="00A13674"/>
    <w:rsid w:val="00A13C09"/>
    <w:rsid w:val="00A140D7"/>
    <w:rsid w:val="00A17596"/>
    <w:rsid w:val="00A20B9C"/>
    <w:rsid w:val="00A2469A"/>
    <w:rsid w:val="00A27DDB"/>
    <w:rsid w:val="00A317DF"/>
    <w:rsid w:val="00A324DA"/>
    <w:rsid w:val="00A34866"/>
    <w:rsid w:val="00A34949"/>
    <w:rsid w:val="00A34F06"/>
    <w:rsid w:val="00A3684A"/>
    <w:rsid w:val="00A428F5"/>
    <w:rsid w:val="00A43205"/>
    <w:rsid w:val="00A43293"/>
    <w:rsid w:val="00A43D4E"/>
    <w:rsid w:val="00A44969"/>
    <w:rsid w:val="00A47A6B"/>
    <w:rsid w:val="00A51339"/>
    <w:rsid w:val="00A54F7C"/>
    <w:rsid w:val="00A556D5"/>
    <w:rsid w:val="00A55EAA"/>
    <w:rsid w:val="00A6066B"/>
    <w:rsid w:val="00A64423"/>
    <w:rsid w:val="00A651D4"/>
    <w:rsid w:val="00A65BE7"/>
    <w:rsid w:val="00A701C5"/>
    <w:rsid w:val="00A7612E"/>
    <w:rsid w:val="00A77A87"/>
    <w:rsid w:val="00A833BD"/>
    <w:rsid w:val="00A865D0"/>
    <w:rsid w:val="00A9596C"/>
    <w:rsid w:val="00A96C87"/>
    <w:rsid w:val="00AA1C66"/>
    <w:rsid w:val="00AA22B2"/>
    <w:rsid w:val="00AA6329"/>
    <w:rsid w:val="00AB4FBD"/>
    <w:rsid w:val="00AB6C9E"/>
    <w:rsid w:val="00AB74D0"/>
    <w:rsid w:val="00AC3070"/>
    <w:rsid w:val="00AC3479"/>
    <w:rsid w:val="00AC5A19"/>
    <w:rsid w:val="00AC6056"/>
    <w:rsid w:val="00AC68AC"/>
    <w:rsid w:val="00AD2912"/>
    <w:rsid w:val="00AD3172"/>
    <w:rsid w:val="00AE20E6"/>
    <w:rsid w:val="00AE583F"/>
    <w:rsid w:val="00AE60F2"/>
    <w:rsid w:val="00AF2CA4"/>
    <w:rsid w:val="00AF3970"/>
    <w:rsid w:val="00AF558D"/>
    <w:rsid w:val="00AF65A4"/>
    <w:rsid w:val="00AF6F9B"/>
    <w:rsid w:val="00B00AA1"/>
    <w:rsid w:val="00B02A40"/>
    <w:rsid w:val="00B02F2F"/>
    <w:rsid w:val="00B03CFD"/>
    <w:rsid w:val="00B057DA"/>
    <w:rsid w:val="00B06C9F"/>
    <w:rsid w:val="00B075A9"/>
    <w:rsid w:val="00B106DE"/>
    <w:rsid w:val="00B140B5"/>
    <w:rsid w:val="00B17946"/>
    <w:rsid w:val="00B22449"/>
    <w:rsid w:val="00B2351F"/>
    <w:rsid w:val="00B23F1D"/>
    <w:rsid w:val="00B23F98"/>
    <w:rsid w:val="00B2459A"/>
    <w:rsid w:val="00B30DEA"/>
    <w:rsid w:val="00B314C8"/>
    <w:rsid w:val="00B31A1D"/>
    <w:rsid w:val="00B31FE0"/>
    <w:rsid w:val="00B344CB"/>
    <w:rsid w:val="00B35439"/>
    <w:rsid w:val="00B355F8"/>
    <w:rsid w:val="00B44275"/>
    <w:rsid w:val="00B458F1"/>
    <w:rsid w:val="00B47BC6"/>
    <w:rsid w:val="00B50220"/>
    <w:rsid w:val="00B51A25"/>
    <w:rsid w:val="00B51E2A"/>
    <w:rsid w:val="00B53A7D"/>
    <w:rsid w:val="00B56B23"/>
    <w:rsid w:val="00B57EC9"/>
    <w:rsid w:val="00B6194D"/>
    <w:rsid w:val="00B63260"/>
    <w:rsid w:val="00B668AC"/>
    <w:rsid w:val="00B66E49"/>
    <w:rsid w:val="00B67C0E"/>
    <w:rsid w:val="00B67E2D"/>
    <w:rsid w:val="00B74791"/>
    <w:rsid w:val="00B76C2E"/>
    <w:rsid w:val="00B83CD3"/>
    <w:rsid w:val="00B85645"/>
    <w:rsid w:val="00B85F70"/>
    <w:rsid w:val="00B90DDB"/>
    <w:rsid w:val="00B92899"/>
    <w:rsid w:val="00B944E7"/>
    <w:rsid w:val="00B94A69"/>
    <w:rsid w:val="00B95679"/>
    <w:rsid w:val="00B96582"/>
    <w:rsid w:val="00BA2767"/>
    <w:rsid w:val="00BA4426"/>
    <w:rsid w:val="00BA4605"/>
    <w:rsid w:val="00BA62AC"/>
    <w:rsid w:val="00BA6575"/>
    <w:rsid w:val="00BB1749"/>
    <w:rsid w:val="00BB26D3"/>
    <w:rsid w:val="00BB4CE3"/>
    <w:rsid w:val="00BB5A59"/>
    <w:rsid w:val="00BB6825"/>
    <w:rsid w:val="00BC0586"/>
    <w:rsid w:val="00BC0894"/>
    <w:rsid w:val="00BC51E7"/>
    <w:rsid w:val="00BC73B6"/>
    <w:rsid w:val="00BD2C3C"/>
    <w:rsid w:val="00BD671C"/>
    <w:rsid w:val="00BE1685"/>
    <w:rsid w:val="00BE3532"/>
    <w:rsid w:val="00BE402D"/>
    <w:rsid w:val="00BE5887"/>
    <w:rsid w:val="00BE7A51"/>
    <w:rsid w:val="00BF1111"/>
    <w:rsid w:val="00BF6AFD"/>
    <w:rsid w:val="00BF7245"/>
    <w:rsid w:val="00C01899"/>
    <w:rsid w:val="00C0314B"/>
    <w:rsid w:val="00C03B16"/>
    <w:rsid w:val="00C04FC7"/>
    <w:rsid w:val="00C05D21"/>
    <w:rsid w:val="00C05E35"/>
    <w:rsid w:val="00C07690"/>
    <w:rsid w:val="00C137F7"/>
    <w:rsid w:val="00C15207"/>
    <w:rsid w:val="00C15DBE"/>
    <w:rsid w:val="00C16C56"/>
    <w:rsid w:val="00C23210"/>
    <w:rsid w:val="00C253E3"/>
    <w:rsid w:val="00C2625E"/>
    <w:rsid w:val="00C268B9"/>
    <w:rsid w:val="00C321C6"/>
    <w:rsid w:val="00C328E5"/>
    <w:rsid w:val="00C33419"/>
    <w:rsid w:val="00C405E1"/>
    <w:rsid w:val="00C41513"/>
    <w:rsid w:val="00C42C55"/>
    <w:rsid w:val="00C44767"/>
    <w:rsid w:val="00C46DE9"/>
    <w:rsid w:val="00C5288B"/>
    <w:rsid w:val="00C551BB"/>
    <w:rsid w:val="00C56877"/>
    <w:rsid w:val="00C61F4C"/>
    <w:rsid w:val="00C62699"/>
    <w:rsid w:val="00C633F7"/>
    <w:rsid w:val="00C6747C"/>
    <w:rsid w:val="00C73F42"/>
    <w:rsid w:val="00C745DA"/>
    <w:rsid w:val="00C74D41"/>
    <w:rsid w:val="00C7516D"/>
    <w:rsid w:val="00C75202"/>
    <w:rsid w:val="00C76408"/>
    <w:rsid w:val="00C85485"/>
    <w:rsid w:val="00C87005"/>
    <w:rsid w:val="00C87954"/>
    <w:rsid w:val="00C90386"/>
    <w:rsid w:val="00C91CCE"/>
    <w:rsid w:val="00C93FC3"/>
    <w:rsid w:val="00C9442C"/>
    <w:rsid w:val="00C95022"/>
    <w:rsid w:val="00C950CC"/>
    <w:rsid w:val="00C96E35"/>
    <w:rsid w:val="00CA653D"/>
    <w:rsid w:val="00CA7CB8"/>
    <w:rsid w:val="00CB03A4"/>
    <w:rsid w:val="00CB2B34"/>
    <w:rsid w:val="00CB5082"/>
    <w:rsid w:val="00CB5FC5"/>
    <w:rsid w:val="00CB7B98"/>
    <w:rsid w:val="00CC23A1"/>
    <w:rsid w:val="00CC7475"/>
    <w:rsid w:val="00CD4176"/>
    <w:rsid w:val="00CD594E"/>
    <w:rsid w:val="00CD74CE"/>
    <w:rsid w:val="00CD7C0E"/>
    <w:rsid w:val="00CE01E8"/>
    <w:rsid w:val="00CE09FA"/>
    <w:rsid w:val="00CE346F"/>
    <w:rsid w:val="00CE7E2F"/>
    <w:rsid w:val="00CF079E"/>
    <w:rsid w:val="00CF0FA8"/>
    <w:rsid w:val="00CF2D33"/>
    <w:rsid w:val="00CF4CA7"/>
    <w:rsid w:val="00CF6379"/>
    <w:rsid w:val="00CF651C"/>
    <w:rsid w:val="00D00087"/>
    <w:rsid w:val="00D011C1"/>
    <w:rsid w:val="00D0140E"/>
    <w:rsid w:val="00D019AF"/>
    <w:rsid w:val="00D023C6"/>
    <w:rsid w:val="00D05859"/>
    <w:rsid w:val="00D07752"/>
    <w:rsid w:val="00D07BAB"/>
    <w:rsid w:val="00D101E1"/>
    <w:rsid w:val="00D10E6C"/>
    <w:rsid w:val="00D17EBD"/>
    <w:rsid w:val="00D2127E"/>
    <w:rsid w:val="00D233CC"/>
    <w:rsid w:val="00D242AF"/>
    <w:rsid w:val="00D26666"/>
    <w:rsid w:val="00D30018"/>
    <w:rsid w:val="00D31A90"/>
    <w:rsid w:val="00D32761"/>
    <w:rsid w:val="00D346A7"/>
    <w:rsid w:val="00D41F61"/>
    <w:rsid w:val="00D43723"/>
    <w:rsid w:val="00D43A1D"/>
    <w:rsid w:val="00D440FE"/>
    <w:rsid w:val="00D47DBC"/>
    <w:rsid w:val="00D50B0D"/>
    <w:rsid w:val="00D538BE"/>
    <w:rsid w:val="00D54C0B"/>
    <w:rsid w:val="00D555F7"/>
    <w:rsid w:val="00D5685C"/>
    <w:rsid w:val="00D56862"/>
    <w:rsid w:val="00D56B91"/>
    <w:rsid w:val="00D579B9"/>
    <w:rsid w:val="00D61E6A"/>
    <w:rsid w:val="00D627A0"/>
    <w:rsid w:val="00D65AE5"/>
    <w:rsid w:val="00D6742E"/>
    <w:rsid w:val="00D77074"/>
    <w:rsid w:val="00D83AED"/>
    <w:rsid w:val="00D83C35"/>
    <w:rsid w:val="00D8490B"/>
    <w:rsid w:val="00D87505"/>
    <w:rsid w:val="00D90263"/>
    <w:rsid w:val="00D9501A"/>
    <w:rsid w:val="00D9505C"/>
    <w:rsid w:val="00D962F5"/>
    <w:rsid w:val="00D96F48"/>
    <w:rsid w:val="00D97224"/>
    <w:rsid w:val="00D9759C"/>
    <w:rsid w:val="00D97792"/>
    <w:rsid w:val="00D9781A"/>
    <w:rsid w:val="00DA0B94"/>
    <w:rsid w:val="00DA1391"/>
    <w:rsid w:val="00DA3109"/>
    <w:rsid w:val="00DA4619"/>
    <w:rsid w:val="00DA6BDA"/>
    <w:rsid w:val="00DB040C"/>
    <w:rsid w:val="00DB08B3"/>
    <w:rsid w:val="00DB12A1"/>
    <w:rsid w:val="00DB56E0"/>
    <w:rsid w:val="00DB6978"/>
    <w:rsid w:val="00DC06F5"/>
    <w:rsid w:val="00DC25EE"/>
    <w:rsid w:val="00DC3EDB"/>
    <w:rsid w:val="00DC7945"/>
    <w:rsid w:val="00DD26BA"/>
    <w:rsid w:val="00DD2953"/>
    <w:rsid w:val="00DD5125"/>
    <w:rsid w:val="00DD57EB"/>
    <w:rsid w:val="00DD5BD6"/>
    <w:rsid w:val="00DD669C"/>
    <w:rsid w:val="00DE1087"/>
    <w:rsid w:val="00DE10E4"/>
    <w:rsid w:val="00DE2ABF"/>
    <w:rsid w:val="00DE2BE7"/>
    <w:rsid w:val="00DE3F87"/>
    <w:rsid w:val="00DE6A0C"/>
    <w:rsid w:val="00DE6C40"/>
    <w:rsid w:val="00DE7402"/>
    <w:rsid w:val="00DF110B"/>
    <w:rsid w:val="00DF3484"/>
    <w:rsid w:val="00DF50C4"/>
    <w:rsid w:val="00DF51A7"/>
    <w:rsid w:val="00DF67B0"/>
    <w:rsid w:val="00DF7FE8"/>
    <w:rsid w:val="00E00FEC"/>
    <w:rsid w:val="00E019DA"/>
    <w:rsid w:val="00E01D02"/>
    <w:rsid w:val="00E0337B"/>
    <w:rsid w:val="00E044E3"/>
    <w:rsid w:val="00E05064"/>
    <w:rsid w:val="00E07FE5"/>
    <w:rsid w:val="00E110B3"/>
    <w:rsid w:val="00E113A9"/>
    <w:rsid w:val="00E14AE4"/>
    <w:rsid w:val="00E155DB"/>
    <w:rsid w:val="00E15B05"/>
    <w:rsid w:val="00E1795B"/>
    <w:rsid w:val="00E21E7E"/>
    <w:rsid w:val="00E2514B"/>
    <w:rsid w:val="00E3069F"/>
    <w:rsid w:val="00E30DF7"/>
    <w:rsid w:val="00E325EF"/>
    <w:rsid w:val="00E33BED"/>
    <w:rsid w:val="00E34733"/>
    <w:rsid w:val="00E34D63"/>
    <w:rsid w:val="00E368BE"/>
    <w:rsid w:val="00E40F9E"/>
    <w:rsid w:val="00E42E38"/>
    <w:rsid w:val="00E45BDD"/>
    <w:rsid w:val="00E55604"/>
    <w:rsid w:val="00E61A7E"/>
    <w:rsid w:val="00E631ED"/>
    <w:rsid w:val="00E64CA6"/>
    <w:rsid w:val="00E66962"/>
    <w:rsid w:val="00E67E13"/>
    <w:rsid w:val="00E709E6"/>
    <w:rsid w:val="00E722CB"/>
    <w:rsid w:val="00E74DCC"/>
    <w:rsid w:val="00E75B00"/>
    <w:rsid w:val="00E76CDA"/>
    <w:rsid w:val="00E77462"/>
    <w:rsid w:val="00E778F3"/>
    <w:rsid w:val="00E80B95"/>
    <w:rsid w:val="00E8156D"/>
    <w:rsid w:val="00E865E3"/>
    <w:rsid w:val="00E8662E"/>
    <w:rsid w:val="00E90665"/>
    <w:rsid w:val="00E90E96"/>
    <w:rsid w:val="00E94A8C"/>
    <w:rsid w:val="00E9663A"/>
    <w:rsid w:val="00E9690C"/>
    <w:rsid w:val="00E96AE9"/>
    <w:rsid w:val="00E97796"/>
    <w:rsid w:val="00EA1846"/>
    <w:rsid w:val="00EA2AF4"/>
    <w:rsid w:val="00EA2E0B"/>
    <w:rsid w:val="00EA3D71"/>
    <w:rsid w:val="00EA4BA3"/>
    <w:rsid w:val="00EA4D97"/>
    <w:rsid w:val="00EA77B7"/>
    <w:rsid w:val="00EB104C"/>
    <w:rsid w:val="00EB1237"/>
    <w:rsid w:val="00EB1AF0"/>
    <w:rsid w:val="00EB450A"/>
    <w:rsid w:val="00EB48D0"/>
    <w:rsid w:val="00EB4A3D"/>
    <w:rsid w:val="00EB511D"/>
    <w:rsid w:val="00EC17B9"/>
    <w:rsid w:val="00ED058E"/>
    <w:rsid w:val="00ED28D1"/>
    <w:rsid w:val="00ED2D0D"/>
    <w:rsid w:val="00ED3326"/>
    <w:rsid w:val="00ED38A7"/>
    <w:rsid w:val="00ED7BB8"/>
    <w:rsid w:val="00EE2F1A"/>
    <w:rsid w:val="00EE32F5"/>
    <w:rsid w:val="00EE35A3"/>
    <w:rsid w:val="00EE39FC"/>
    <w:rsid w:val="00EE427C"/>
    <w:rsid w:val="00EF2172"/>
    <w:rsid w:val="00EF4A32"/>
    <w:rsid w:val="00EF4CC0"/>
    <w:rsid w:val="00EF6ED0"/>
    <w:rsid w:val="00EF794F"/>
    <w:rsid w:val="00F00355"/>
    <w:rsid w:val="00F00536"/>
    <w:rsid w:val="00F00956"/>
    <w:rsid w:val="00F01454"/>
    <w:rsid w:val="00F075CA"/>
    <w:rsid w:val="00F105E1"/>
    <w:rsid w:val="00F15D7B"/>
    <w:rsid w:val="00F20487"/>
    <w:rsid w:val="00F21D8E"/>
    <w:rsid w:val="00F24771"/>
    <w:rsid w:val="00F27E15"/>
    <w:rsid w:val="00F317DE"/>
    <w:rsid w:val="00F34F4E"/>
    <w:rsid w:val="00F35B5A"/>
    <w:rsid w:val="00F35CE6"/>
    <w:rsid w:val="00F35DE9"/>
    <w:rsid w:val="00F4051F"/>
    <w:rsid w:val="00F43807"/>
    <w:rsid w:val="00F43B08"/>
    <w:rsid w:val="00F45D8D"/>
    <w:rsid w:val="00F46FB5"/>
    <w:rsid w:val="00F501A2"/>
    <w:rsid w:val="00F50892"/>
    <w:rsid w:val="00F50E6E"/>
    <w:rsid w:val="00F52CBC"/>
    <w:rsid w:val="00F560CA"/>
    <w:rsid w:val="00F6024B"/>
    <w:rsid w:val="00F60597"/>
    <w:rsid w:val="00F641A2"/>
    <w:rsid w:val="00F66506"/>
    <w:rsid w:val="00F71B45"/>
    <w:rsid w:val="00F7238C"/>
    <w:rsid w:val="00F7359A"/>
    <w:rsid w:val="00F76DD5"/>
    <w:rsid w:val="00F83D25"/>
    <w:rsid w:val="00F858E6"/>
    <w:rsid w:val="00F94448"/>
    <w:rsid w:val="00F946DF"/>
    <w:rsid w:val="00F9512A"/>
    <w:rsid w:val="00F9593B"/>
    <w:rsid w:val="00F95D90"/>
    <w:rsid w:val="00F97D3E"/>
    <w:rsid w:val="00FA0944"/>
    <w:rsid w:val="00FA34D2"/>
    <w:rsid w:val="00FA3FFF"/>
    <w:rsid w:val="00FA6C42"/>
    <w:rsid w:val="00FA7E93"/>
    <w:rsid w:val="00FB0D9F"/>
    <w:rsid w:val="00FB0FC8"/>
    <w:rsid w:val="00FB2080"/>
    <w:rsid w:val="00FB2668"/>
    <w:rsid w:val="00FC02FD"/>
    <w:rsid w:val="00FC2561"/>
    <w:rsid w:val="00FC32AA"/>
    <w:rsid w:val="00FC3585"/>
    <w:rsid w:val="00FC4A62"/>
    <w:rsid w:val="00FC4B08"/>
    <w:rsid w:val="00FC53C8"/>
    <w:rsid w:val="00FC547B"/>
    <w:rsid w:val="00FC6B7B"/>
    <w:rsid w:val="00FC7674"/>
    <w:rsid w:val="00FC76C7"/>
    <w:rsid w:val="00FC7876"/>
    <w:rsid w:val="00FC7B9C"/>
    <w:rsid w:val="00FD24CB"/>
    <w:rsid w:val="00FD4214"/>
    <w:rsid w:val="00FD5251"/>
    <w:rsid w:val="00FD597B"/>
    <w:rsid w:val="00FE0EB3"/>
    <w:rsid w:val="00FE4C52"/>
    <w:rsid w:val="00FE5507"/>
    <w:rsid w:val="00FE5B0B"/>
    <w:rsid w:val="00FE62FB"/>
    <w:rsid w:val="00FF30D5"/>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034C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lang w:val="x-none" w:eastAsia="x-none"/>
    </w:rPr>
  </w:style>
  <w:style w:type="character" w:customStyle="1" w:styleId="Heading9Char">
    <w:name w:val="Heading 9 Char"/>
    <w:link w:val="Heading9"/>
    <w:rsid w:val="00B6194D"/>
    <w:rPr>
      <w:rFonts w:ascii="Cambria" w:hAnsi="Cambria"/>
      <w:sz w:val="24"/>
      <w:szCs w:val="22"/>
      <w:lang w:val="x-none" w:eastAsia="x-none"/>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character" w:styleId="Hyperlink">
    <w:name w:val="Hyperlink"/>
    <w:basedOn w:val="DefaultParagraphFont"/>
    <w:unhideWhenUsed/>
    <w:rsid w:val="005971EE"/>
    <w:rPr>
      <w:color w:val="0563C1" w:themeColor="hyperlink"/>
      <w:u w:val="single"/>
    </w:rPr>
  </w:style>
  <w:style w:type="character" w:styleId="CommentReference">
    <w:name w:val="annotation reference"/>
    <w:basedOn w:val="DefaultParagraphFont"/>
    <w:semiHidden/>
    <w:unhideWhenUsed/>
    <w:rsid w:val="00CB03A4"/>
    <w:rPr>
      <w:sz w:val="18"/>
      <w:szCs w:val="18"/>
    </w:rPr>
  </w:style>
  <w:style w:type="paragraph" w:styleId="CommentText">
    <w:name w:val="annotation text"/>
    <w:basedOn w:val="Normal"/>
    <w:link w:val="CommentTextChar"/>
    <w:semiHidden/>
    <w:unhideWhenUsed/>
    <w:rsid w:val="00CB03A4"/>
    <w:rPr>
      <w:sz w:val="24"/>
      <w:szCs w:val="24"/>
    </w:rPr>
  </w:style>
  <w:style w:type="character" w:customStyle="1" w:styleId="CommentTextChar">
    <w:name w:val="Comment Text Char"/>
    <w:basedOn w:val="DefaultParagraphFont"/>
    <w:link w:val="CommentText"/>
    <w:semiHidden/>
    <w:rsid w:val="00CB03A4"/>
    <w:rPr>
      <w:sz w:val="24"/>
      <w:szCs w:val="24"/>
      <w:lang w:eastAsia="en-US"/>
    </w:rPr>
  </w:style>
  <w:style w:type="paragraph" w:styleId="CommentSubject">
    <w:name w:val="annotation subject"/>
    <w:basedOn w:val="CommentText"/>
    <w:next w:val="CommentText"/>
    <w:link w:val="CommentSubjectChar"/>
    <w:semiHidden/>
    <w:unhideWhenUsed/>
    <w:rsid w:val="00CB03A4"/>
    <w:rPr>
      <w:b/>
      <w:bCs/>
      <w:sz w:val="20"/>
      <w:szCs w:val="20"/>
    </w:rPr>
  </w:style>
  <w:style w:type="character" w:customStyle="1" w:styleId="CommentSubjectChar">
    <w:name w:val="Comment Subject Char"/>
    <w:basedOn w:val="CommentTextChar"/>
    <w:link w:val="CommentSubject"/>
    <w:semiHidden/>
    <w:rsid w:val="00CB03A4"/>
    <w:rPr>
      <w:b/>
      <w:bCs/>
      <w:sz w:val="24"/>
      <w:szCs w:val="24"/>
      <w:lang w:eastAsia="en-US"/>
    </w:rPr>
  </w:style>
  <w:style w:type="character" w:styleId="FollowedHyperlink">
    <w:name w:val="FollowedHyperlink"/>
    <w:basedOn w:val="DefaultParagraphFont"/>
    <w:semiHidden/>
    <w:unhideWhenUsed/>
    <w:rsid w:val="001F18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7639">
      <w:bodyDiv w:val="1"/>
      <w:marLeft w:val="0"/>
      <w:marRight w:val="0"/>
      <w:marTop w:val="0"/>
      <w:marBottom w:val="0"/>
      <w:divBdr>
        <w:top w:val="none" w:sz="0" w:space="0" w:color="auto"/>
        <w:left w:val="none" w:sz="0" w:space="0" w:color="auto"/>
        <w:bottom w:val="none" w:sz="0" w:space="0" w:color="auto"/>
        <w:right w:val="none" w:sz="0" w:space="0" w:color="auto"/>
      </w:divBdr>
    </w:div>
    <w:div w:id="1671058572">
      <w:bodyDiv w:val="1"/>
      <w:marLeft w:val="0"/>
      <w:marRight w:val="0"/>
      <w:marTop w:val="0"/>
      <w:marBottom w:val="0"/>
      <w:divBdr>
        <w:top w:val="none" w:sz="0" w:space="0" w:color="auto"/>
        <w:left w:val="none" w:sz="0" w:space="0" w:color="auto"/>
        <w:bottom w:val="none" w:sz="0" w:space="0" w:color="auto"/>
        <w:right w:val="none" w:sz="0" w:space="0" w:color="auto"/>
      </w:divBdr>
    </w:div>
    <w:div w:id="1921863678">
      <w:bodyDiv w:val="1"/>
      <w:marLeft w:val="0"/>
      <w:marRight w:val="0"/>
      <w:marTop w:val="0"/>
      <w:marBottom w:val="0"/>
      <w:divBdr>
        <w:top w:val="none" w:sz="0" w:space="0" w:color="auto"/>
        <w:left w:val="none" w:sz="0" w:space="0" w:color="auto"/>
        <w:bottom w:val="none" w:sz="0" w:space="0" w:color="auto"/>
        <w:right w:val="none" w:sz="0" w:space="0" w:color="auto"/>
      </w:divBdr>
    </w:div>
    <w:div w:id="20248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2.xml"/><Relationship Id="rId15" Type="http://schemas.openxmlformats.org/officeDocument/2006/relationships/image" Target="media/image1.png"/><Relationship Id="rId16" Type="http://schemas.openxmlformats.org/officeDocument/2006/relationships/fontTable" Target="fontTable.xml"/><Relationship Id="rId17"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huongmt4@gmail.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2738</Words>
  <Characters>15612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2016-10-06T02:42:00Z</dcterms:created>
  <dcterms:modified xsi:type="dcterms:W3CDTF">2016-10-21T13:56:00Z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