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wdp" ContentType="image/vnd.ms-photo"/>
  <Default Extension="odttf" ContentType="application/vnd.openxmlformats-officedocument.obfuscatedFo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04BD3" w14:textId="77777777" w:rsidR="006144F7" w:rsidRPr="00A9130A" w:rsidRDefault="009365A7" w:rsidP="00A9130A">
      <w:pPr>
        <w:pStyle w:val="01TiubiboVietnam"/>
      </w:pPr>
      <w:r>
        <w:tab/>
        <w:t xml:space="preserve">nghiên cứu </w:t>
      </w:r>
      <w:r w:rsidR="00420ED0" w:rsidRPr="009E4FB0">
        <w:t>PHÂN LẬP NẤM MEN TỪ DỊCH NHỰA CÂY ĐOÁC</w:t>
      </w:r>
      <w:r w:rsidR="00F23BAF">
        <w:t xml:space="preserve"> </w:t>
      </w:r>
      <w:r w:rsidR="00F23BAF" w:rsidRPr="00F23BAF">
        <w:rPr>
          <w:i/>
        </w:rPr>
        <w:t>(ARENGA PINNATA)</w:t>
      </w:r>
      <w:r w:rsidR="00420ED0" w:rsidRPr="009E4FB0">
        <w:t xml:space="preserve"> VÀ KHẢO SÁT ẢNH </w:t>
      </w:r>
      <w:r w:rsidR="008532C4">
        <w:t xml:space="preserve">HƯỞNG CỦA </w:t>
      </w:r>
      <w:r w:rsidR="008532C4" w:rsidRPr="008532C4">
        <w:rPr>
          <w:rFonts w:ascii="Times New Roman" w:hAnsi="Times New Roman"/>
          <w:caps w:val="0"/>
        </w:rPr>
        <w:t>p</w:t>
      </w:r>
      <w:r w:rsidR="001A0413">
        <w:t xml:space="preserve">H </w:t>
      </w:r>
      <w:r w:rsidR="008532C4">
        <w:t xml:space="preserve">ĐẾN </w:t>
      </w:r>
      <w:r w:rsidR="0071480D">
        <w:t>QUÁ TRÌNH LÊN MEN RƯỢU ĐOÁC</w:t>
      </w:r>
    </w:p>
    <w:p w14:paraId="30D9AD01" w14:textId="77777777" w:rsidR="000A415F" w:rsidRDefault="00CB4CF1" w:rsidP="00B02A40">
      <w:pPr>
        <w:pStyle w:val="03Tntcgibibo"/>
      </w:pPr>
      <w:r>
        <w:rPr>
          <w:rFonts w:asciiTheme="minorHAnsi" w:hAnsiTheme="minorHAnsi"/>
          <w:b w:val="0"/>
          <w:i w:val="0"/>
          <w:caps/>
          <w:sz w:val="24"/>
        </w:rPr>
        <w:t xml:space="preserve">isolation </w:t>
      </w:r>
      <w:r w:rsidR="008532C4">
        <w:rPr>
          <w:rFonts w:asciiTheme="minorHAnsi" w:hAnsiTheme="minorHAnsi"/>
          <w:b w:val="0"/>
          <w:i w:val="0"/>
          <w:caps/>
          <w:sz w:val="24"/>
        </w:rPr>
        <w:t xml:space="preserve">OF </w:t>
      </w:r>
      <w:r w:rsidR="00A20291">
        <w:rPr>
          <w:rFonts w:asciiTheme="minorHAnsi" w:hAnsiTheme="minorHAnsi"/>
          <w:b w:val="0"/>
          <w:i w:val="0"/>
          <w:caps/>
          <w:sz w:val="24"/>
        </w:rPr>
        <w:t xml:space="preserve">Yeast </w:t>
      </w:r>
      <w:r w:rsidR="008532C4">
        <w:rPr>
          <w:rFonts w:asciiTheme="minorHAnsi" w:hAnsiTheme="minorHAnsi"/>
          <w:b w:val="0"/>
          <w:i w:val="0"/>
          <w:caps/>
          <w:sz w:val="24"/>
        </w:rPr>
        <w:t xml:space="preserve">SPECIES </w:t>
      </w:r>
      <w:r>
        <w:rPr>
          <w:rFonts w:asciiTheme="minorHAnsi" w:hAnsiTheme="minorHAnsi"/>
          <w:b w:val="0"/>
          <w:i w:val="0"/>
          <w:caps/>
          <w:sz w:val="24"/>
        </w:rPr>
        <w:t xml:space="preserve">from </w:t>
      </w:r>
      <w:r w:rsidR="00475C20">
        <w:rPr>
          <w:rFonts w:asciiTheme="minorHAnsi" w:hAnsiTheme="minorHAnsi"/>
          <w:b w:val="0"/>
          <w:i w:val="0"/>
          <w:caps/>
          <w:sz w:val="24"/>
        </w:rPr>
        <w:t xml:space="preserve">THE SAP OF </w:t>
      </w:r>
      <w:r>
        <w:rPr>
          <w:rFonts w:asciiTheme="minorHAnsi" w:hAnsiTheme="minorHAnsi"/>
          <w:b w:val="0"/>
          <w:i w:val="0"/>
          <w:caps/>
          <w:sz w:val="24"/>
        </w:rPr>
        <w:t xml:space="preserve">sugar palm </w:t>
      </w:r>
      <w:r w:rsidRPr="00CB4CF1">
        <w:rPr>
          <w:rFonts w:asciiTheme="minorHAnsi" w:hAnsiTheme="minorHAnsi"/>
          <w:b w:val="0"/>
          <w:caps/>
          <w:sz w:val="24"/>
        </w:rPr>
        <w:t>(</w:t>
      </w:r>
      <w:r w:rsidR="00616E8A" w:rsidRPr="00CB4CF1">
        <w:rPr>
          <w:rFonts w:asciiTheme="minorHAnsi" w:hAnsiTheme="minorHAnsi"/>
          <w:b w:val="0"/>
          <w:caps/>
          <w:sz w:val="24"/>
        </w:rPr>
        <w:t>Arenga pinnata)</w:t>
      </w:r>
      <w:r w:rsidR="00616E8A" w:rsidRPr="00616E8A">
        <w:rPr>
          <w:rFonts w:asciiTheme="minorHAnsi" w:hAnsiTheme="minorHAnsi"/>
          <w:b w:val="0"/>
          <w:i w:val="0"/>
          <w:caps/>
          <w:sz w:val="24"/>
        </w:rPr>
        <w:t xml:space="preserve"> and </w:t>
      </w:r>
      <w:r w:rsidR="008532C4">
        <w:rPr>
          <w:rFonts w:asciiTheme="minorHAnsi" w:hAnsiTheme="minorHAnsi"/>
          <w:b w:val="0"/>
          <w:i w:val="0"/>
          <w:caps/>
          <w:sz w:val="24"/>
        </w:rPr>
        <w:t>EFFECT OF</w:t>
      </w:r>
      <w:r w:rsidR="00616E8A" w:rsidRPr="00616E8A">
        <w:rPr>
          <w:rFonts w:asciiTheme="minorHAnsi" w:hAnsiTheme="minorHAnsi"/>
          <w:b w:val="0"/>
          <w:i w:val="0"/>
          <w:caps/>
          <w:sz w:val="24"/>
        </w:rPr>
        <w:t xml:space="preserve"> </w:t>
      </w:r>
      <w:r w:rsidR="00616E8A" w:rsidRPr="008532C4">
        <w:rPr>
          <w:rFonts w:asciiTheme="minorHAnsi" w:hAnsiTheme="minorHAnsi"/>
          <w:b w:val="0"/>
          <w:i w:val="0"/>
          <w:sz w:val="24"/>
        </w:rPr>
        <w:t>p</w:t>
      </w:r>
      <w:r w:rsidR="00616E8A" w:rsidRPr="00616E8A">
        <w:rPr>
          <w:rFonts w:asciiTheme="minorHAnsi" w:hAnsiTheme="minorHAnsi"/>
          <w:b w:val="0"/>
          <w:i w:val="0"/>
          <w:caps/>
          <w:sz w:val="24"/>
        </w:rPr>
        <w:t xml:space="preserve">H </w:t>
      </w:r>
      <w:r w:rsidR="008532C4">
        <w:rPr>
          <w:rFonts w:asciiTheme="minorHAnsi" w:hAnsiTheme="minorHAnsi"/>
          <w:b w:val="0"/>
          <w:i w:val="0"/>
          <w:caps/>
          <w:sz w:val="24"/>
        </w:rPr>
        <w:t>ON</w:t>
      </w:r>
      <w:r w:rsidR="00616E8A" w:rsidRPr="00616E8A">
        <w:rPr>
          <w:rFonts w:asciiTheme="minorHAnsi" w:hAnsiTheme="minorHAnsi"/>
          <w:b w:val="0"/>
          <w:i w:val="0"/>
          <w:caps/>
          <w:sz w:val="24"/>
        </w:rPr>
        <w:t xml:space="preserve"> sugar palm wine fermentation</w:t>
      </w:r>
      <w:r w:rsidR="00475C20">
        <w:rPr>
          <w:rFonts w:asciiTheme="minorHAnsi" w:hAnsiTheme="minorHAnsi"/>
          <w:b w:val="0"/>
          <w:i w:val="0"/>
          <w:caps/>
          <w:sz w:val="24"/>
        </w:rPr>
        <w:t xml:space="preserve"> </w:t>
      </w:r>
    </w:p>
    <w:p w14:paraId="29CEC08D" w14:textId="77777777" w:rsidR="00D43723" w:rsidRPr="00D43723" w:rsidRDefault="00D43723" w:rsidP="00D43723">
      <w:pPr>
        <w:pStyle w:val="05Tmtt-Abstract"/>
        <w:sectPr w:rsidR="00D43723" w:rsidRPr="00D43723" w:rsidSect="00E40F9E">
          <w:headerReference w:type="even" r:id="rId9"/>
          <w:headerReference w:type="default" r:id="rId10"/>
          <w:footerReference w:type="even" r:id="rId11"/>
          <w:pgSz w:w="10773" w:h="15026" w:code="9"/>
          <w:pgMar w:top="567" w:right="567" w:bottom="567" w:left="567" w:header="284" w:footer="284" w:gutter="0"/>
          <w:cols w:space="720"/>
          <w:docGrid w:linePitch="360"/>
        </w:sectPr>
      </w:pPr>
    </w:p>
    <w:p w14:paraId="7BBDBC1B" w14:textId="77777777" w:rsidR="00054AC5" w:rsidRPr="00680995" w:rsidRDefault="00D0140E" w:rsidP="00B02A40">
      <w:pPr>
        <w:pStyle w:val="05Tmtt-Abstract"/>
      </w:pPr>
      <w:r w:rsidRPr="00680995">
        <w:rPr>
          <w:b/>
        </w:rPr>
        <w:lastRenderedPageBreak/>
        <w:t xml:space="preserve">Tóm tắt </w:t>
      </w:r>
    </w:p>
    <w:p w14:paraId="38E664AD" w14:textId="13B1FF3A" w:rsidR="00A9130A" w:rsidRPr="00EE133B" w:rsidRDefault="00A9130A" w:rsidP="009445DC">
      <w:pPr>
        <w:pStyle w:val="05Tmtt-Abstract"/>
      </w:pPr>
      <w:r w:rsidRPr="009445DC">
        <w:t xml:space="preserve">Rượu </w:t>
      </w:r>
      <w:r w:rsidR="009365A7">
        <w:t>Đ</w:t>
      </w:r>
      <w:r w:rsidR="008A5980">
        <w:t>oác</w:t>
      </w:r>
      <w:r w:rsidR="00C56811">
        <w:t xml:space="preserve"> </w:t>
      </w:r>
      <w:r w:rsidRPr="009445DC">
        <w:t>(</w:t>
      </w:r>
      <w:r w:rsidR="00AC3F76">
        <w:t xml:space="preserve">Tà Vạt) </w:t>
      </w:r>
      <w:r w:rsidRPr="009445DC">
        <w:t xml:space="preserve">được </w:t>
      </w:r>
      <w:r w:rsidR="009365A7">
        <w:t>đồng bào</w:t>
      </w:r>
      <w:r w:rsidRPr="009445DC">
        <w:t xml:space="preserve"> dân tộc thuộc huyện mi</w:t>
      </w:r>
      <w:r w:rsidR="00AC3F76">
        <w:t>ề</w:t>
      </w:r>
      <w:r w:rsidRPr="009445DC">
        <w:t xml:space="preserve">n núi Nam Giang - Quảng Nam </w:t>
      </w:r>
      <w:r w:rsidR="009365A7">
        <w:t xml:space="preserve">sản xuất bằng </w:t>
      </w:r>
      <w:r w:rsidRPr="009445DC">
        <w:t>lên men tự nhiên.</w:t>
      </w:r>
      <w:r w:rsidR="009365A7">
        <w:t xml:space="preserve"> P</w:t>
      </w:r>
      <w:r w:rsidRPr="009445DC">
        <w:t>hương pháp này có nhược điểm lớn là chất lượng sản phẩm không ổn định</w:t>
      </w:r>
      <w:r w:rsidR="009365A7">
        <w:t xml:space="preserve"> và</w:t>
      </w:r>
      <w:r w:rsidR="00BF3AAD">
        <w:t xml:space="preserve"> không</w:t>
      </w:r>
      <w:r w:rsidR="009365A7">
        <w:t xml:space="preserve"> đảm bảo an toàn do không kiểm soát được hệ vi sinh vật lên men</w:t>
      </w:r>
      <w:r w:rsidRPr="009445DC">
        <w:t xml:space="preserve">. </w:t>
      </w:r>
      <w:r w:rsidR="009365A7">
        <w:t>Trong nghiên cứu này</w:t>
      </w:r>
      <w:r w:rsidRPr="009445DC">
        <w:t xml:space="preserve">, chúng tôi phân lập chủng nấm men từ dịch nhựa cây đoác </w:t>
      </w:r>
      <w:r w:rsidR="009365A7">
        <w:t>nhằm tìm ra được chủng</w:t>
      </w:r>
      <w:r w:rsidRPr="009445DC">
        <w:t xml:space="preserve"> thuần khiết</w:t>
      </w:r>
      <w:r w:rsidR="009365A7">
        <w:t xml:space="preserve"> để áp dụng vào quá trình lên men dịch nhựa Đoác</w:t>
      </w:r>
      <w:r w:rsidRPr="009445DC">
        <w:t xml:space="preserve">. Sau </w:t>
      </w:r>
      <w:r w:rsidR="009365A7">
        <w:t>khi phân lập</w:t>
      </w:r>
      <w:r w:rsidRPr="009445DC">
        <w:t xml:space="preserve">, chúng tôi </w:t>
      </w:r>
      <w:r w:rsidR="009365A7">
        <w:t xml:space="preserve">đã </w:t>
      </w:r>
      <w:r w:rsidRPr="009445DC">
        <w:t xml:space="preserve">tiến hành </w:t>
      </w:r>
      <w:r w:rsidR="00BF3AAD">
        <w:t xml:space="preserve">đánh giá </w:t>
      </w:r>
      <w:r w:rsidRPr="009445DC">
        <w:t>hoạt lực lên men</w:t>
      </w:r>
      <w:r w:rsidR="00BF3AAD">
        <w:t xml:space="preserve"> và ghi nhận được hoạt lực lên men rượu cao của chủng này</w:t>
      </w:r>
      <w:r w:rsidRPr="009445DC">
        <w:t xml:space="preserve">. Kết quả </w:t>
      </w:r>
      <w:r w:rsidR="00BF3AAD">
        <w:t>theo dõi cho thấy</w:t>
      </w:r>
      <w:r w:rsidRPr="009445DC">
        <w:t xml:space="preserve"> sau </w:t>
      </w:r>
      <w:r w:rsidR="007B3421">
        <w:t xml:space="preserve">96 giờ </w:t>
      </w:r>
      <w:r w:rsidRPr="009445DC">
        <w:t>lên men</w:t>
      </w:r>
      <w:r w:rsidR="00AF164A">
        <w:t xml:space="preserve"> dịch nhựa đ</w:t>
      </w:r>
      <w:r w:rsidR="00BF3AAD">
        <w:t>oác</w:t>
      </w:r>
      <w:r w:rsidRPr="009445DC">
        <w:t xml:space="preserve">, </w:t>
      </w:r>
      <w:r w:rsidR="00BF3AAD">
        <w:t>sản phẩm</w:t>
      </w:r>
      <w:r w:rsidRPr="009445DC">
        <w:t xml:space="preserve"> </w:t>
      </w:r>
      <w:r w:rsidR="00BF3AAD">
        <w:t xml:space="preserve">tạo thành </w:t>
      </w:r>
      <w:r w:rsidRPr="009445DC">
        <w:t>có độ cồn là 8,</w:t>
      </w:r>
      <w:r w:rsidR="009C2C86">
        <w:t>2</w:t>
      </w:r>
      <w:r w:rsidRPr="009445DC">
        <w:t xml:space="preserve">% </w:t>
      </w:r>
      <w:r w:rsidR="00BF3AAD">
        <w:t>(</w:t>
      </w:r>
      <w:r w:rsidRPr="009445DC">
        <w:t>v/v</w:t>
      </w:r>
      <w:r w:rsidR="00BF3AAD">
        <w:t>)</w:t>
      </w:r>
      <w:r w:rsidRPr="009445DC">
        <w:t xml:space="preserve"> và pH là 3,7</w:t>
      </w:r>
      <w:r w:rsidR="0027352B">
        <w:t>6</w:t>
      </w:r>
      <w:r w:rsidR="00AD7CF1" w:rsidRPr="009445DC">
        <w:t>&lt; 4</w:t>
      </w:r>
      <w:r w:rsidR="00BF3AAD">
        <w:t>, tạo ra môi trường thuận lợi cho quá trình bảo quản</w:t>
      </w:r>
      <w:r w:rsidR="00AD7CF1" w:rsidRPr="009445DC">
        <w:t xml:space="preserve">. </w:t>
      </w:r>
      <w:r w:rsidRPr="009445DC">
        <w:t xml:space="preserve">Bên cạnh đó, </w:t>
      </w:r>
      <w:r w:rsidR="00BF3AAD">
        <w:t xml:space="preserve">qua </w:t>
      </w:r>
      <w:r w:rsidRPr="009445DC">
        <w:t xml:space="preserve">khảo sát </w:t>
      </w:r>
      <w:r w:rsidR="00BF3AAD">
        <w:t xml:space="preserve">ảnh hưởng của </w:t>
      </w:r>
      <w:r w:rsidRPr="009445DC">
        <w:t xml:space="preserve">pH </w:t>
      </w:r>
      <w:r w:rsidR="00BF3AAD">
        <w:t>đến</w:t>
      </w:r>
      <w:r w:rsidRPr="009445DC">
        <w:t xml:space="preserve"> quá trình lên men rượu </w:t>
      </w:r>
      <w:r w:rsidR="00BF3AAD">
        <w:t>của chủng này</w:t>
      </w:r>
      <w:r w:rsidRPr="009445DC">
        <w:t xml:space="preserve">, chúng tôi </w:t>
      </w:r>
      <w:r w:rsidR="00BF3AAD">
        <w:t>xác định được tại</w:t>
      </w:r>
      <w:r w:rsidRPr="009445DC">
        <w:t xml:space="preserve"> </w:t>
      </w:r>
      <w:r w:rsidR="00AC2272">
        <w:t xml:space="preserve">pH= </w:t>
      </w:r>
      <w:r w:rsidRPr="009445DC">
        <w:t>4,5</w:t>
      </w:r>
      <w:r w:rsidR="00BF3AAD">
        <w:t xml:space="preserve">, </w:t>
      </w:r>
      <w:r w:rsidR="00486775">
        <w:t>thời gian lên men 96</w:t>
      </w:r>
      <w:r w:rsidR="009D2044">
        <w:t xml:space="preserve"> giờ</w:t>
      </w:r>
      <w:r w:rsidR="00486775">
        <w:t>,</w:t>
      </w:r>
      <w:r w:rsidRPr="009445DC">
        <w:t xml:space="preserve"> độ cồn thu được là cao nhất, đạt 8,2% (v/v).</w:t>
      </w:r>
    </w:p>
    <w:p w14:paraId="79B106E7" w14:textId="77777777" w:rsidR="00A9130A" w:rsidRPr="00331088" w:rsidRDefault="00A9130A" w:rsidP="009445DC">
      <w:pPr>
        <w:pStyle w:val="05Tmtt-Abstract"/>
        <w:rPr>
          <w:b/>
        </w:rPr>
      </w:pPr>
      <w:r w:rsidRPr="00331088">
        <w:rPr>
          <w:b/>
        </w:rPr>
        <w:t xml:space="preserve">Từ khóa: </w:t>
      </w:r>
      <w:r w:rsidR="00712150">
        <w:rPr>
          <w:b/>
        </w:rPr>
        <w:t xml:space="preserve">cây </w:t>
      </w:r>
      <w:r w:rsidR="00331088" w:rsidRPr="00331088">
        <w:rPr>
          <w:b/>
        </w:rPr>
        <w:t xml:space="preserve">Đoác, </w:t>
      </w:r>
      <w:r w:rsidR="00712150">
        <w:rPr>
          <w:b/>
        </w:rPr>
        <w:t xml:space="preserve">rượu Đoác, </w:t>
      </w:r>
      <w:r w:rsidRPr="00331088">
        <w:rPr>
          <w:b/>
        </w:rPr>
        <w:t>phân lập</w:t>
      </w:r>
      <w:r w:rsidR="00712150">
        <w:rPr>
          <w:b/>
        </w:rPr>
        <w:t xml:space="preserve"> nấm men</w:t>
      </w:r>
      <w:r w:rsidRPr="00331088">
        <w:rPr>
          <w:b/>
        </w:rPr>
        <w:t>, lên men</w:t>
      </w:r>
      <w:r w:rsidR="00712150">
        <w:rPr>
          <w:b/>
        </w:rPr>
        <w:t xml:space="preserve"> tự nhiên, lên men rượu</w:t>
      </w:r>
    </w:p>
    <w:p w14:paraId="1762C5C1" w14:textId="77777777" w:rsidR="00C93FC3" w:rsidRPr="00EE133B" w:rsidRDefault="00C93FC3" w:rsidP="009546B4">
      <w:pPr>
        <w:rPr>
          <w:rFonts w:asciiTheme="majorHAnsi" w:hAnsiTheme="majorHAnsi" w:cstheme="majorHAnsi"/>
          <w:sz w:val="16"/>
          <w:szCs w:val="16"/>
        </w:rPr>
      </w:pPr>
    </w:p>
    <w:p w14:paraId="43493E14" w14:textId="77777777" w:rsidR="009546B4" w:rsidRDefault="00D0140E" w:rsidP="00331088">
      <w:pPr>
        <w:pStyle w:val="05Tmtt-Abstract"/>
        <w:ind w:firstLine="0"/>
      </w:pPr>
      <w:r w:rsidRPr="00680995">
        <w:rPr>
          <w:b/>
        </w:rPr>
        <w:lastRenderedPageBreak/>
        <w:t>Abstract</w:t>
      </w:r>
      <w:r w:rsidR="00054AC5" w:rsidRPr="00680995">
        <w:rPr>
          <w:b/>
        </w:rPr>
        <w:t xml:space="preserve"> </w:t>
      </w:r>
    </w:p>
    <w:p w14:paraId="6BDF4B3F" w14:textId="5B82014A" w:rsidR="00263827" w:rsidRPr="00680995" w:rsidRDefault="00331088" w:rsidP="00237655">
      <w:pPr>
        <w:pStyle w:val="05Tmtt-Abstract"/>
      </w:pPr>
      <w:r>
        <w:t xml:space="preserve">Sugar palm wine </w:t>
      </w:r>
      <w:r w:rsidRPr="00331088">
        <w:rPr>
          <w:i/>
        </w:rPr>
        <w:t>(Arenga pinnata)</w:t>
      </w:r>
      <w:r w:rsidRPr="00331088">
        <w:t xml:space="preserve"> are </w:t>
      </w:r>
      <w:r w:rsidR="00BF3AAD">
        <w:t>produced</w:t>
      </w:r>
      <w:r>
        <w:t xml:space="preserve"> by mountainous ethnic</w:t>
      </w:r>
      <w:r w:rsidR="00BF3AAD">
        <w:t xml:space="preserve"> minorities in</w:t>
      </w:r>
      <w:r>
        <w:t xml:space="preserve"> </w:t>
      </w:r>
      <w:r w:rsidRPr="00331088">
        <w:t>Nam Gian</w:t>
      </w:r>
      <w:r>
        <w:t>g</w:t>
      </w:r>
      <w:r w:rsidR="00BC6E51">
        <w:t xml:space="preserve">, </w:t>
      </w:r>
      <w:r>
        <w:t xml:space="preserve">Quang Nam </w:t>
      </w:r>
      <w:r w:rsidR="00BF3AAD">
        <w:t>using natural fermentation</w:t>
      </w:r>
      <w:r w:rsidRPr="00331088">
        <w:t xml:space="preserve">. </w:t>
      </w:r>
      <w:r w:rsidR="00BF3AAD">
        <w:t>T</w:t>
      </w:r>
      <w:r w:rsidRPr="00331088">
        <w:t xml:space="preserve">his method has </w:t>
      </w:r>
      <w:r w:rsidR="00BF3AAD">
        <w:t xml:space="preserve">a </w:t>
      </w:r>
      <w:r w:rsidRPr="00331088">
        <w:t>major disadvantage</w:t>
      </w:r>
      <w:r w:rsidR="00F54D20">
        <w:t xml:space="preserve"> that the quality of the product is unstable and the safety is not ensured</w:t>
      </w:r>
      <w:r w:rsidRPr="00331088">
        <w:t xml:space="preserve">. </w:t>
      </w:r>
      <w:r w:rsidR="00F54D20">
        <w:t>In this study</w:t>
      </w:r>
      <w:r w:rsidRPr="00331088">
        <w:t xml:space="preserve">, we conducted </w:t>
      </w:r>
      <w:r w:rsidR="00651BAB">
        <w:t xml:space="preserve">the </w:t>
      </w:r>
      <w:r w:rsidRPr="00331088">
        <w:t xml:space="preserve">isolation yeast form sugar palm </w:t>
      </w:r>
      <w:r w:rsidR="00F54D20">
        <w:t xml:space="preserve">sap in order to obtain a </w:t>
      </w:r>
      <w:r w:rsidRPr="00331088">
        <w:t>purified form</w:t>
      </w:r>
      <w:r w:rsidR="00F54D20">
        <w:t>,which is suitable for sugar palm wine production</w:t>
      </w:r>
      <w:r w:rsidRPr="00331088">
        <w:t xml:space="preserve">. </w:t>
      </w:r>
      <w:r w:rsidR="00F54D20">
        <w:t>After the isolation of yeast species</w:t>
      </w:r>
      <w:r w:rsidRPr="00331088">
        <w:t xml:space="preserve">, we </w:t>
      </w:r>
      <w:r w:rsidR="00F54D20">
        <w:t>evaluated the alcohol fermentation ability of the chosen specie and confirmed the high capacity of alcohol fermentation</w:t>
      </w:r>
      <w:r>
        <w:t xml:space="preserve">. </w:t>
      </w:r>
      <w:r w:rsidRPr="00331088">
        <w:t xml:space="preserve">The results </w:t>
      </w:r>
      <w:r w:rsidR="00F54D20">
        <w:t xml:space="preserve">showed that </w:t>
      </w:r>
      <w:r w:rsidRPr="00331088">
        <w:t>after</w:t>
      </w:r>
      <w:r w:rsidR="005B5E70">
        <w:t xml:space="preserve"> 96 hours</w:t>
      </w:r>
      <w:r w:rsidRPr="00331088">
        <w:t xml:space="preserve"> of ferm</w:t>
      </w:r>
      <w:r w:rsidR="00651BAB">
        <w:t>entation,</w:t>
      </w:r>
      <w:r w:rsidR="00F54D20">
        <w:t xml:space="preserve"> the product of fermentation had the</w:t>
      </w:r>
      <w:r w:rsidR="00651BAB">
        <w:t xml:space="preserve"> alcohol content</w:t>
      </w:r>
      <w:r w:rsidR="00F54D20">
        <w:t xml:space="preserve"> of</w:t>
      </w:r>
      <w:r w:rsidR="00651BAB">
        <w:t xml:space="preserve"> 8</w:t>
      </w:r>
      <w:r w:rsidR="009C2C86">
        <w:t>,2</w:t>
      </w:r>
      <w:r w:rsidR="00651BAB">
        <w:t xml:space="preserve">% </w:t>
      </w:r>
      <w:r w:rsidR="00F54D20">
        <w:t>(</w:t>
      </w:r>
      <w:r w:rsidR="00651BAB">
        <w:t>v/</w:t>
      </w:r>
      <w:r w:rsidRPr="00331088">
        <w:t>v</w:t>
      </w:r>
      <w:r w:rsidR="00F54D20">
        <w:t>)</w:t>
      </w:r>
      <w:r w:rsidRPr="00331088">
        <w:t xml:space="preserve"> a</w:t>
      </w:r>
      <w:r>
        <w:t>nd the pH of 3,7</w:t>
      </w:r>
      <w:r w:rsidR="0027352B">
        <w:t>6</w:t>
      </w:r>
      <w:r w:rsidR="00F54D20">
        <w:t xml:space="preserve"> (</w:t>
      </w:r>
      <w:r>
        <w:t>&lt;4</w:t>
      </w:r>
      <w:r w:rsidR="00F54D20">
        <w:t xml:space="preserve">), creating an suitable environment for long time preservation </w:t>
      </w:r>
      <w:r w:rsidR="00BC6E51">
        <w:t>of</w:t>
      </w:r>
      <w:r w:rsidR="00F54D20">
        <w:t xml:space="preserve"> product</w:t>
      </w:r>
      <w:r w:rsidR="00651BAB">
        <w:t xml:space="preserve">. </w:t>
      </w:r>
      <w:r>
        <w:t xml:space="preserve">In addition, </w:t>
      </w:r>
      <w:r w:rsidR="00F54D20">
        <w:t xml:space="preserve">after the investigation of the effect of pH on alcohol fermenation by this specie, we </w:t>
      </w:r>
      <w:r w:rsidR="00BC6E51">
        <w:t>determined the</w:t>
      </w:r>
      <w:r w:rsidRPr="00331088">
        <w:t xml:space="preserve"> optimal pH for the sugar palm w</w:t>
      </w:r>
      <w:r>
        <w:t>ine fermentation</w:t>
      </w:r>
      <w:r w:rsidR="00BC6E51">
        <w:t xml:space="preserve"> of this specie was</w:t>
      </w:r>
      <w:r w:rsidR="00C56811">
        <w:t xml:space="preserve"> </w:t>
      </w:r>
      <w:r>
        <w:t>4,5</w:t>
      </w:r>
      <w:r w:rsidR="00BC6E51">
        <w:t>, the</w:t>
      </w:r>
      <w:r>
        <w:t xml:space="preserve"> </w:t>
      </w:r>
      <w:r w:rsidR="00BC6E51">
        <w:t xml:space="preserve">highest </w:t>
      </w:r>
      <w:r w:rsidRPr="00331088">
        <w:t>alcohol content</w:t>
      </w:r>
      <w:r w:rsidR="00BC6E51">
        <w:t xml:space="preserve"> of product reached</w:t>
      </w:r>
      <w:r>
        <w:t xml:space="preserve"> 8.2% (v/</w:t>
      </w:r>
      <w:r w:rsidR="00651BAB">
        <w:t xml:space="preserve">v) </w:t>
      </w:r>
      <w:r w:rsidR="00BC6E51">
        <w:t>at this pH</w:t>
      </w:r>
      <w:r>
        <w:t>.</w:t>
      </w:r>
    </w:p>
    <w:p w14:paraId="7056A2C0" w14:textId="77777777" w:rsidR="005366A9" w:rsidRDefault="00517D7A" w:rsidP="00B02A40">
      <w:pPr>
        <w:pStyle w:val="05Tmtt-Abstract"/>
        <w:rPr>
          <w:b/>
        </w:rPr>
      </w:pPr>
      <w:r w:rsidRPr="00680995">
        <w:rPr>
          <w:b/>
        </w:rPr>
        <w:t>Key words</w:t>
      </w:r>
      <w:r w:rsidR="00C56811">
        <w:rPr>
          <w:b/>
        </w:rPr>
        <w:t>:</w:t>
      </w:r>
      <w:r w:rsidR="00237655">
        <w:rPr>
          <w:b/>
        </w:rPr>
        <w:t xml:space="preserve"> </w:t>
      </w:r>
      <w:r w:rsidR="00331088">
        <w:rPr>
          <w:b/>
        </w:rPr>
        <w:t xml:space="preserve">Sugar palm, </w:t>
      </w:r>
      <w:r w:rsidR="00712150">
        <w:rPr>
          <w:b/>
        </w:rPr>
        <w:t xml:space="preserve">sugar palm wine, yeast species </w:t>
      </w:r>
      <w:r w:rsidR="00331088">
        <w:rPr>
          <w:b/>
        </w:rPr>
        <w:t xml:space="preserve">isolation, </w:t>
      </w:r>
      <w:r w:rsidR="00712150">
        <w:rPr>
          <w:b/>
        </w:rPr>
        <w:t xml:space="preserve">natural </w:t>
      </w:r>
      <w:r w:rsidR="00331088">
        <w:rPr>
          <w:b/>
        </w:rPr>
        <w:t>fermentation, wine</w:t>
      </w:r>
      <w:r w:rsidR="00712150">
        <w:rPr>
          <w:b/>
        </w:rPr>
        <w:t xml:space="preserve"> fermentation</w:t>
      </w:r>
    </w:p>
    <w:p w14:paraId="46AE8B1F" w14:textId="77777777" w:rsidR="00331088" w:rsidRPr="00331088" w:rsidRDefault="00331088" w:rsidP="00331088">
      <w:pPr>
        <w:sectPr w:rsidR="00331088" w:rsidRPr="00331088" w:rsidSect="00E40F9E">
          <w:type w:val="continuous"/>
          <w:pgSz w:w="10773" w:h="15026" w:code="9"/>
          <w:pgMar w:top="567" w:right="567" w:bottom="567" w:left="567" w:header="284" w:footer="284" w:gutter="0"/>
          <w:cols w:num="2" w:space="284"/>
          <w:docGrid w:linePitch="360"/>
        </w:sectPr>
      </w:pPr>
    </w:p>
    <w:p w14:paraId="311C0957" w14:textId="77777777" w:rsidR="00494919" w:rsidRDefault="00470F1D" w:rsidP="005F40E9">
      <w:pPr>
        <w:pStyle w:val="Heading1"/>
      </w:pPr>
      <w:r w:rsidRPr="0065618C">
        <w:lastRenderedPageBreak/>
        <w:t>Đặt vấn đề</w:t>
      </w:r>
    </w:p>
    <w:p w14:paraId="1B9F29B9" w14:textId="790F7B03" w:rsidR="008C1BAF" w:rsidRDefault="000A415F" w:rsidP="00046363">
      <w:r>
        <w:t xml:space="preserve">Rượu </w:t>
      </w:r>
      <w:r w:rsidR="000C5725">
        <w:t>đ</w:t>
      </w:r>
      <w:r w:rsidR="00E85034">
        <w:t>oác</w:t>
      </w:r>
      <w:r>
        <w:t xml:space="preserve"> hay còn gọi là rượu Tà Vạt là loại rượu đặc trưng </w:t>
      </w:r>
      <w:r w:rsidR="001A7A99">
        <w:t xml:space="preserve">của người </w:t>
      </w:r>
      <w:r>
        <w:t xml:space="preserve">dân tộc </w:t>
      </w:r>
      <w:r w:rsidR="001A7A99">
        <w:t>Cơ Tu và Tà Ôi thuộc</w:t>
      </w:r>
      <w:r>
        <w:t xml:space="preserve"> </w:t>
      </w:r>
      <w:r w:rsidR="00046363">
        <w:t xml:space="preserve">huyện </w:t>
      </w:r>
      <w:r w:rsidR="008532C4">
        <w:t xml:space="preserve">miền núi </w:t>
      </w:r>
      <w:r w:rsidR="00BF17B8">
        <w:t>Nam Giang</w:t>
      </w:r>
      <w:r w:rsidR="008532C4">
        <w:t>,</w:t>
      </w:r>
      <w:r>
        <w:t xml:space="preserve"> Quảng Nam. </w:t>
      </w:r>
      <w:r w:rsidR="008166ED">
        <w:t>R</w:t>
      </w:r>
      <w:r>
        <w:t xml:space="preserve">ượu </w:t>
      </w:r>
      <w:r w:rsidR="008166ED">
        <w:t xml:space="preserve">được sản xuất </w:t>
      </w:r>
      <w:r w:rsidR="00363C40">
        <w:t xml:space="preserve">như sau: dịch nhựa từ cây </w:t>
      </w:r>
      <w:r w:rsidR="000C5725">
        <w:t>đ</w:t>
      </w:r>
      <w:r>
        <w:t xml:space="preserve">oác sau khi lấy </w:t>
      </w:r>
      <w:r w:rsidR="009365A7">
        <w:t xml:space="preserve">từ </w:t>
      </w:r>
      <w:r w:rsidR="00CA140C">
        <w:t xml:space="preserve">cuống hoa </w:t>
      </w:r>
      <w:r w:rsidR="008532C4">
        <w:t xml:space="preserve">được </w:t>
      </w:r>
      <w:r>
        <w:t xml:space="preserve">bổ sung </w:t>
      </w:r>
      <w:r w:rsidR="005F722D">
        <w:t>vỏ cây chuồn đã phơi khô</w:t>
      </w:r>
      <w:r>
        <w:t xml:space="preserve"> và </w:t>
      </w:r>
      <w:r w:rsidR="008532C4">
        <w:t xml:space="preserve">để </w:t>
      </w:r>
      <w:r w:rsidR="00BD16D2">
        <w:t>lên men tự nhiên, s</w:t>
      </w:r>
      <w:r>
        <w:t>au vài ngày thu được rượu uống.</w:t>
      </w:r>
      <w:r w:rsidR="00890C52">
        <w:t xml:space="preserve"> </w:t>
      </w:r>
      <w:r w:rsidR="008166ED">
        <w:t>P</w:t>
      </w:r>
      <w:r w:rsidR="008532C4">
        <w:t xml:space="preserve">hương </w:t>
      </w:r>
      <w:r w:rsidR="00890C52">
        <w:t xml:space="preserve">pháp này không kiểm soát </w:t>
      </w:r>
      <w:r w:rsidR="008166ED">
        <w:t xml:space="preserve">tốt </w:t>
      </w:r>
      <w:r w:rsidR="00890C52">
        <w:t xml:space="preserve">quá trình lên men và </w:t>
      </w:r>
      <w:r w:rsidR="00BD16D2">
        <w:t xml:space="preserve">hệ vi sinh vật </w:t>
      </w:r>
      <w:r w:rsidR="00380C0E">
        <w:t>đóng</w:t>
      </w:r>
      <w:r w:rsidR="00BD16D2">
        <w:t xml:space="preserve"> vai trò lên men </w:t>
      </w:r>
      <w:r w:rsidR="00380C0E">
        <w:t xml:space="preserve">là </w:t>
      </w:r>
      <w:r w:rsidR="00BD16D2">
        <w:t>không</w:t>
      </w:r>
      <w:r w:rsidR="005F722D">
        <w:t xml:space="preserve"> thuần khiết</w:t>
      </w:r>
      <w:r w:rsidR="00380C0E">
        <w:t>,</w:t>
      </w:r>
      <w:r w:rsidR="00046363">
        <w:t xml:space="preserve"> </w:t>
      </w:r>
      <w:r w:rsidR="005F722D">
        <w:t>ảnh hưởng đến chất lượng rượu</w:t>
      </w:r>
      <w:r w:rsidR="00046363">
        <w:t xml:space="preserve"> cũng như </w:t>
      </w:r>
      <w:r w:rsidR="00CA140C">
        <w:t>thời gian sử dụng</w:t>
      </w:r>
      <w:r w:rsidR="00046363">
        <w:t xml:space="preserve">. </w:t>
      </w:r>
      <w:r w:rsidR="008166ED">
        <w:t>D</w:t>
      </w:r>
      <w:r w:rsidR="00363C40">
        <w:rPr>
          <w:szCs w:val="20"/>
        </w:rPr>
        <w:t>ịch nhựa cây</w:t>
      </w:r>
      <w:r w:rsidR="00363C40" w:rsidRPr="00CF5457">
        <w:rPr>
          <w:szCs w:val="20"/>
        </w:rPr>
        <w:t xml:space="preserve"> </w:t>
      </w:r>
      <w:r w:rsidR="00BE0F27" w:rsidRPr="00CF5457">
        <w:rPr>
          <w:szCs w:val="20"/>
        </w:rPr>
        <w:t>đ</w:t>
      </w:r>
      <w:r w:rsidR="00046363" w:rsidRPr="00CF5457">
        <w:rPr>
          <w:szCs w:val="20"/>
        </w:rPr>
        <w:t xml:space="preserve">oác </w:t>
      </w:r>
      <w:r w:rsidR="00046363" w:rsidRPr="009627E5">
        <w:rPr>
          <w:szCs w:val="20"/>
        </w:rPr>
        <w:t xml:space="preserve">là môi trường đặc trưng, không phải nấm men nào cũng có thể phát triển trong dịch này, mà phải đúng chủng nấm men mới có khả năng sinh trưởng và chuyển hóa thành rượu </w:t>
      </w:r>
      <w:r w:rsidR="00046363" w:rsidRPr="003723E7">
        <w:rPr>
          <w:szCs w:val="20"/>
        </w:rPr>
        <w:t xml:space="preserve">tốt </w:t>
      </w:r>
      <w:r w:rsidR="0082246E" w:rsidRPr="003723E7">
        <w:rPr>
          <w:szCs w:val="20"/>
        </w:rPr>
        <w:t>[</w:t>
      </w:r>
      <w:r w:rsidR="00957C4E">
        <w:rPr>
          <w:szCs w:val="20"/>
        </w:rPr>
        <w:t>11</w:t>
      </w:r>
      <w:r w:rsidR="00046363" w:rsidRPr="003723E7">
        <w:rPr>
          <w:szCs w:val="20"/>
        </w:rPr>
        <w:t>].</w:t>
      </w:r>
      <w:r w:rsidR="001A7A99" w:rsidRPr="003723E7">
        <w:t xml:space="preserve"> </w:t>
      </w:r>
      <w:r w:rsidR="00046363">
        <w:t xml:space="preserve">Bên cạnh đó, pH </w:t>
      </w:r>
      <w:r w:rsidR="00AF164A">
        <w:t xml:space="preserve">cũng </w:t>
      </w:r>
      <w:r w:rsidR="00046363">
        <w:t xml:space="preserve">là yếu tố quan trọng trong quá trình lên men rượu, ảnh hưởng đến </w:t>
      </w:r>
      <w:r w:rsidR="006644C9">
        <w:t>các ion</w:t>
      </w:r>
      <w:r w:rsidR="005F722D">
        <w:t xml:space="preserve"> trên bề mặt màng tế bào, </w:t>
      </w:r>
      <w:r w:rsidR="006644C9">
        <w:t xml:space="preserve">tác động tích cực hay tiêu cực đến khả năng thẩm thấu của màng tế bào, </w:t>
      </w:r>
      <w:r w:rsidR="00AF164A">
        <w:t>hiệu suất của</w:t>
      </w:r>
      <w:r w:rsidR="006644C9">
        <w:t xml:space="preserve"> quá trình lên men</w:t>
      </w:r>
      <w:r w:rsidR="00A90811">
        <w:t>. V</w:t>
      </w:r>
      <w:r w:rsidR="00BD16D2">
        <w:t>ì vậy</w:t>
      </w:r>
      <w:r w:rsidR="00AF164A">
        <w:t>,</w:t>
      </w:r>
      <w:r w:rsidR="006644C9">
        <w:t xml:space="preserve"> </w:t>
      </w:r>
      <w:r w:rsidR="00380C0E">
        <w:t xml:space="preserve">phân lập chủng nấm men có hoạt lực lên men </w:t>
      </w:r>
      <w:r w:rsidR="0044130A">
        <w:t>dịch nhựa đ</w:t>
      </w:r>
      <w:r w:rsidR="008166ED">
        <w:t>oác</w:t>
      </w:r>
      <w:r w:rsidR="00380C0E">
        <w:t xml:space="preserve"> tốt và </w:t>
      </w:r>
      <w:r w:rsidR="006644C9">
        <w:t xml:space="preserve">khảo sát </w:t>
      </w:r>
      <w:r w:rsidR="00380C0E">
        <w:t xml:space="preserve">chọn </w:t>
      </w:r>
      <w:r w:rsidR="006644C9">
        <w:t xml:space="preserve">pH tối ưu cho quá trình lên men </w:t>
      </w:r>
      <w:r w:rsidR="008166ED">
        <w:t xml:space="preserve">là yêu cầu cần thiết </w:t>
      </w:r>
      <w:r w:rsidR="00AF164A">
        <w:t>nhằm</w:t>
      </w:r>
      <w:r w:rsidR="00380C0E">
        <w:t xml:space="preserve"> tạo cơ sở cho việc </w:t>
      </w:r>
      <w:r w:rsidR="00AF164A">
        <w:t>phát triển</w:t>
      </w:r>
      <w:r w:rsidR="0044130A">
        <w:t xml:space="preserve"> công nghệ sản xuất rượu vang đ</w:t>
      </w:r>
      <w:r w:rsidR="00380C0E">
        <w:t>oác ở quy mô lớn</w:t>
      </w:r>
      <w:r w:rsidR="006644C9">
        <w:t>.</w:t>
      </w:r>
    </w:p>
    <w:p w14:paraId="44104CE3" w14:textId="77777777" w:rsidR="005F40E9" w:rsidRDefault="00380C0E" w:rsidP="00E30DF7">
      <w:pPr>
        <w:pStyle w:val="Heading1"/>
      </w:pPr>
      <w:r>
        <w:t>Nguyên liệu và phương phương pháp nghiên cứu</w:t>
      </w:r>
    </w:p>
    <w:p w14:paraId="40628086" w14:textId="77777777" w:rsidR="00380C0E" w:rsidRDefault="00380C0E" w:rsidP="00380C0E">
      <w:pPr>
        <w:pStyle w:val="Heading2"/>
      </w:pPr>
      <w:r>
        <w:t>Nguyên liệu</w:t>
      </w:r>
    </w:p>
    <w:p w14:paraId="1DE96947" w14:textId="526D9244" w:rsidR="00380C0E" w:rsidRDefault="00363C40" w:rsidP="00380C0E">
      <w:pPr>
        <w:rPr>
          <w:rFonts w:asciiTheme="minorHAnsi" w:hAnsiTheme="minorHAnsi" w:cstheme="minorHAnsi"/>
          <w:szCs w:val="20"/>
        </w:rPr>
      </w:pPr>
      <w:r>
        <w:rPr>
          <w:rFonts w:asciiTheme="minorHAnsi" w:hAnsiTheme="minorHAnsi" w:cstheme="minorHAnsi"/>
          <w:szCs w:val="20"/>
        </w:rPr>
        <w:t xml:space="preserve">Dịch nhựa cây </w:t>
      </w:r>
      <w:r w:rsidR="005B5E70">
        <w:rPr>
          <w:rFonts w:asciiTheme="minorHAnsi" w:hAnsiTheme="minorHAnsi" w:cstheme="minorHAnsi"/>
          <w:szCs w:val="20"/>
        </w:rPr>
        <w:t>đ</w:t>
      </w:r>
      <w:r w:rsidR="00380C0E">
        <w:rPr>
          <w:rFonts w:asciiTheme="minorHAnsi" w:hAnsiTheme="minorHAnsi" w:cstheme="minorHAnsi"/>
          <w:szCs w:val="20"/>
        </w:rPr>
        <w:t>oác</w:t>
      </w:r>
      <w:r w:rsidR="004449ED">
        <w:rPr>
          <w:rFonts w:asciiTheme="minorHAnsi" w:hAnsiTheme="minorHAnsi" w:cstheme="minorHAnsi"/>
          <w:szCs w:val="20"/>
        </w:rPr>
        <w:t xml:space="preserve"> thu hoạch giữa tháng 4 dương lịch</w:t>
      </w:r>
      <w:r w:rsidR="00380C0E">
        <w:rPr>
          <w:rFonts w:asciiTheme="minorHAnsi" w:hAnsiTheme="minorHAnsi" w:cstheme="minorHAnsi"/>
          <w:szCs w:val="20"/>
        </w:rPr>
        <w:t xml:space="preserve"> và vỏ cây chuồn được lấy từ miền núi của huyện Nam Giang - Quảng Nam</w:t>
      </w:r>
      <w:r w:rsidR="004E488F">
        <w:rPr>
          <w:rFonts w:asciiTheme="minorHAnsi" w:hAnsiTheme="minorHAnsi" w:cstheme="minorHAnsi"/>
          <w:szCs w:val="20"/>
        </w:rPr>
        <w:t>.</w:t>
      </w:r>
    </w:p>
    <w:p w14:paraId="1E787F0B" w14:textId="77777777" w:rsidR="00380C0E" w:rsidRDefault="00380C0E" w:rsidP="00380C0E">
      <w:pPr>
        <w:pStyle w:val="Heading2"/>
      </w:pPr>
      <w:r>
        <w:t>Phương pháp nghiên cứu</w:t>
      </w:r>
    </w:p>
    <w:p w14:paraId="0FAE8FF5" w14:textId="4DFB3299" w:rsidR="001E0755" w:rsidRPr="00AF164A" w:rsidRDefault="004E488F" w:rsidP="00AF164A">
      <w:pPr>
        <w:ind w:firstLine="0"/>
        <w:rPr>
          <w:rFonts w:asciiTheme="minorHAnsi" w:hAnsiTheme="minorHAnsi" w:cstheme="minorHAnsi"/>
          <w:szCs w:val="20"/>
        </w:rPr>
      </w:pPr>
      <w:r>
        <w:rPr>
          <w:rFonts w:asciiTheme="minorHAnsi" w:hAnsiTheme="minorHAnsi" w:cstheme="minorHAnsi"/>
          <w:szCs w:val="20"/>
        </w:rPr>
        <w:t xml:space="preserve">- </w:t>
      </w:r>
      <w:r w:rsidR="001E0755" w:rsidRPr="00AF164A">
        <w:rPr>
          <w:rFonts w:asciiTheme="minorHAnsi" w:hAnsiTheme="minorHAnsi" w:cstheme="minorHAnsi"/>
          <w:szCs w:val="20"/>
        </w:rPr>
        <w:t>Hàm lượng chất khô được đánh giá bằng</w:t>
      </w:r>
      <w:r w:rsidR="00380C0E" w:rsidRPr="00AF164A">
        <w:rPr>
          <w:rFonts w:asciiTheme="minorHAnsi" w:hAnsiTheme="minorHAnsi" w:cstheme="minorHAnsi"/>
          <w:szCs w:val="20"/>
        </w:rPr>
        <w:t xml:space="preserve"> chiết quang kế</w:t>
      </w:r>
      <w:r w:rsidR="001E0755" w:rsidRPr="00AF164A">
        <w:rPr>
          <w:rFonts w:asciiTheme="minorHAnsi" w:hAnsiTheme="minorHAnsi" w:cstheme="minorHAnsi"/>
          <w:szCs w:val="20"/>
        </w:rPr>
        <w:t xml:space="preserve"> thông qua giá trị B</w:t>
      </w:r>
      <w:r w:rsidR="004F5F64" w:rsidRPr="00AF164A">
        <w:rPr>
          <w:rFonts w:asciiTheme="minorHAnsi" w:hAnsiTheme="minorHAnsi" w:cstheme="minorHAnsi"/>
          <w:szCs w:val="20"/>
        </w:rPr>
        <w:t>ri</w:t>
      </w:r>
      <w:r w:rsidR="001E0755" w:rsidRPr="00AF164A">
        <w:rPr>
          <w:rFonts w:asciiTheme="minorHAnsi" w:hAnsiTheme="minorHAnsi" w:cstheme="minorHAnsi"/>
          <w:szCs w:val="20"/>
        </w:rPr>
        <w:t>x</w:t>
      </w:r>
      <w:r w:rsidR="004C6E17" w:rsidRPr="00AF164A">
        <w:rPr>
          <w:rFonts w:asciiTheme="minorHAnsi" w:hAnsiTheme="minorHAnsi" w:cstheme="minorHAnsi"/>
          <w:szCs w:val="20"/>
        </w:rPr>
        <w:t xml:space="preserve"> (hiệu chỉnh Brix về nhiệt độ 20</w:t>
      </w:r>
      <m:oMath>
        <m:r>
          <w:rPr>
            <w:rFonts w:ascii="Cambria Math" w:hAnsi="Cambria Math" w:cstheme="minorHAnsi"/>
            <w:szCs w:val="20"/>
          </w:rPr>
          <m:t>℃</m:t>
        </m:r>
      </m:oMath>
      <w:r w:rsidR="004C6E17" w:rsidRPr="00AF164A">
        <w:rPr>
          <w:rFonts w:asciiTheme="minorHAnsi" w:hAnsiTheme="minorHAnsi" w:cstheme="minorHAnsi"/>
          <w:szCs w:val="20"/>
        </w:rPr>
        <w:t>)</w:t>
      </w:r>
      <w:r w:rsidR="000A139C">
        <w:rPr>
          <w:rFonts w:asciiTheme="minorHAnsi" w:hAnsiTheme="minorHAnsi" w:cstheme="minorHAnsi"/>
          <w:szCs w:val="20"/>
        </w:rPr>
        <w:t>[1]</w:t>
      </w:r>
      <w:r w:rsidRPr="00AF164A">
        <w:rPr>
          <w:rFonts w:asciiTheme="minorHAnsi" w:hAnsiTheme="minorHAnsi" w:cstheme="minorHAnsi"/>
          <w:szCs w:val="20"/>
        </w:rPr>
        <w:t>.</w:t>
      </w:r>
    </w:p>
    <w:p w14:paraId="36D55E01" w14:textId="2578506C" w:rsidR="0042120B" w:rsidRPr="00AF164A" w:rsidRDefault="004E488F" w:rsidP="00AF164A">
      <w:pPr>
        <w:ind w:firstLine="0"/>
        <w:rPr>
          <w:rFonts w:asciiTheme="minorHAnsi" w:hAnsiTheme="minorHAnsi" w:cstheme="minorHAnsi"/>
          <w:szCs w:val="20"/>
        </w:rPr>
      </w:pPr>
      <w:r>
        <w:rPr>
          <w:rFonts w:asciiTheme="minorHAnsi" w:hAnsiTheme="minorHAnsi" w:cstheme="minorHAnsi"/>
          <w:szCs w:val="20"/>
        </w:rPr>
        <w:t xml:space="preserve">- </w:t>
      </w:r>
      <w:r w:rsidR="001E0755" w:rsidRPr="00AF164A">
        <w:rPr>
          <w:rFonts w:asciiTheme="minorHAnsi" w:hAnsiTheme="minorHAnsi" w:cstheme="minorHAnsi"/>
          <w:szCs w:val="20"/>
        </w:rPr>
        <w:t>Hàm lượng đ</w:t>
      </w:r>
      <w:r w:rsidR="00380C0E" w:rsidRPr="00AF164A">
        <w:rPr>
          <w:rFonts w:asciiTheme="minorHAnsi" w:hAnsiTheme="minorHAnsi" w:cstheme="minorHAnsi"/>
          <w:szCs w:val="20"/>
        </w:rPr>
        <w:t xml:space="preserve">ường tổng xác </w:t>
      </w:r>
      <w:r w:rsidR="003934B2" w:rsidRPr="00AF164A">
        <w:rPr>
          <w:rFonts w:asciiTheme="minorHAnsi" w:hAnsiTheme="minorHAnsi" w:cstheme="minorHAnsi"/>
          <w:szCs w:val="20"/>
        </w:rPr>
        <w:t>định bằng phương pháp Bertrand</w:t>
      </w:r>
      <w:r w:rsidR="00D05EA8" w:rsidRPr="00AF164A">
        <w:rPr>
          <w:rFonts w:asciiTheme="minorHAnsi" w:hAnsiTheme="minorHAnsi" w:cstheme="minorHAnsi"/>
          <w:szCs w:val="20"/>
        </w:rPr>
        <w:t xml:space="preserve">. </w:t>
      </w:r>
      <w:r w:rsidR="0042120B" w:rsidRPr="00AF164A">
        <w:rPr>
          <w:rFonts w:asciiTheme="minorHAnsi" w:hAnsiTheme="minorHAnsi" w:cstheme="minorHAnsi"/>
          <w:szCs w:val="20"/>
        </w:rPr>
        <w:t xml:space="preserve">Chuyển tất các thành phần đường trong dung dịch thành đường khử, xác định hàm lượng đường khử thông qua các phản ứng với dung dịch Fehling, sắt (III) </w:t>
      </w:r>
      <w:r w:rsidR="0042120B" w:rsidRPr="00AF164A">
        <w:rPr>
          <w:rFonts w:asciiTheme="minorHAnsi" w:hAnsiTheme="minorHAnsi" w:cstheme="minorHAnsi"/>
          <w:szCs w:val="20"/>
        </w:rPr>
        <w:lastRenderedPageBreak/>
        <w:t>sulfate và kali permanganate [</w:t>
      </w:r>
      <w:r w:rsidR="00FF61B4" w:rsidRPr="00AF164A">
        <w:rPr>
          <w:rFonts w:asciiTheme="minorHAnsi" w:hAnsiTheme="minorHAnsi" w:cstheme="minorHAnsi"/>
          <w:szCs w:val="20"/>
        </w:rPr>
        <w:t>1</w:t>
      </w:r>
      <w:r w:rsidR="0042120B" w:rsidRPr="00AF164A">
        <w:rPr>
          <w:rFonts w:asciiTheme="minorHAnsi" w:hAnsiTheme="minorHAnsi" w:cstheme="minorHAnsi"/>
          <w:szCs w:val="20"/>
        </w:rPr>
        <w:t>]</w:t>
      </w:r>
      <w:r w:rsidR="00AF164A">
        <w:rPr>
          <w:rFonts w:asciiTheme="minorHAnsi" w:hAnsiTheme="minorHAnsi" w:cstheme="minorHAnsi"/>
          <w:szCs w:val="20"/>
        </w:rPr>
        <w:t>,</w:t>
      </w:r>
      <w:r w:rsidR="00957C4E" w:rsidRPr="00AF164A">
        <w:rPr>
          <w:rFonts w:asciiTheme="minorHAnsi" w:hAnsiTheme="minorHAnsi" w:cstheme="minorHAnsi"/>
          <w:szCs w:val="20"/>
        </w:rPr>
        <w:t>[3]</w:t>
      </w:r>
      <w:r w:rsidR="0042120B" w:rsidRPr="00AF164A">
        <w:rPr>
          <w:rFonts w:asciiTheme="minorHAnsi" w:hAnsiTheme="minorHAnsi" w:cstheme="minorHAnsi"/>
          <w:szCs w:val="20"/>
        </w:rPr>
        <w:t>.</w:t>
      </w:r>
      <w:r w:rsidR="00D05EA8" w:rsidRPr="00AF164A">
        <w:rPr>
          <w:rFonts w:asciiTheme="minorHAnsi" w:hAnsiTheme="minorHAnsi" w:cstheme="minorHAnsi"/>
          <w:szCs w:val="20"/>
        </w:rPr>
        <w:t xml:space="preserve"> </w:t>
      </w:r>
    </w:p>
    <w:p w14:paraId="32842874" w14:textId="571529C1" w:rsidR="001E0755" w:rsidRPr="00AF164A" w:rsidRDefault="004E488F" w:rsidP="00AF164A">
      <w:pPr>
        <w:ind w:firstLine="0"/>
        <w:rPr>
          <w:rFonts w:asciiTheme="minorHAnsi" w:hAnsiTheme="minorHAnsi" w:cstheme="minorHAnsi"/>
          <w:szCs w:val="20"/>
        </w:rPr>
      </w:pPr>
      <w:r>
        <w:rPr>
          <w:rFonts w:asciiTheme="minorHAnsi" w:hAnsiTheme="minorHAnsi" w:cstheme="minorHAnsi"/>
          <w:szCs w:val="20"/>
        </w:rPr>
        <w:t xml:space="preserve">- </w:t>
      </w:r>
      <w:r w:rsidR="00380C0E" w:rsidRPr="00AF164A">
        <w:rPr>
          <w:rFonts w:asciiTheme="minorHAnsi" w:hAnsiTheme="minorHAnsi" w:cstheme="minorHAnsi"/>
          <w:szCs w:val="20"/>
        </w:rPr>
        <w:t xml:space="preserve">Acid tổng số xác định bằng </w:t>
      </w:r>
      <w:r w:rsidR="00D05EA8" w:rsidRPr="00AF164A">
        <w:rPr>
          <w:rFonts w:asciiTheme="minorHAnsi" w:hAnsiTheme="minorHAnsi" w:cstheme="minorHAnsi"/>
          <w:szCs w:val="20"/>
        </w:rPr>
        <w:t>phương pháp chuẩn độ acid-base.</w:t>
      </w:r>
      <w:r w:rsidR="001506E6">
        <w:rPr>
          <w:rFonts w:asciiTheme="minorHAnsi" w:hAnsiTheme="minorHAnsi" w:cstheme="minorHAnsi"/>
          <w:szCs w:val="20"/>
        </w:rPr>
        <w:t xml:space="preserve"> Dùng dung dịch NaOH 0,</w:t>
      </w:r>
      <w:r w:rsidR="003934B2" w:rsidRPr="00AF164A">
        <w:rPr>
          <w:rFonts w:asciiTheme="minorHAnsi" w:hAnsiTheme="minorHAnsi" w:cstheme="minorHAnsi"/>
          <w:szCs w:val="20"/>
        </w:rPr>
        <w:t>1N trung hòa acid có trong mẫu thử với chỉ thị phenolphthalein</w:t>
      </w:r>
      <w:r w:rsidR="00FF61B4" w:rsidRPr="00AF164A">
        <w:rPr>
          <w:rFonts w:asciiTheme="minorHAnsi" w:hAnsiTheme="minorHAnsi" w:cstheme="minorHAnsi"/>
          <w:szCs w:val="20"/>
        </w:rPr>
        <w:t xml:space="preserve"> </w:t>
      </w:r>
      <w:r w:rsidR="0082246E" w:rsidRPr="00AF164A">
        <w:rPr>
          <w:rFonts w:asciiTheme="minorHAnsi" w:hAnsiTheme="minorHAnsi" w:cstheme="minorHAnsi"/>
          <w:szCs w:val="20"/>
        </w:rPr>
        <w:t>[</w:t>
      </w:r>
      <w:r w:rsidR="00957C4E" w:rsidRPr="00AF164A">
        <w:rPr>
          <w:rFonts w:asciiTheme="minorHAnsi" w:hAnsiTheme="minorHAnsi" w:cstheme="minorHAnsi"/>
          <w:szCs w:val="20"/>
        </w:rPr>
        <w:t>10</w:t>
      </w:r>
      <w:r w:rsidR="0082246E" w:rsidRPr="00AF164A">
        <w:rPr>
          <w:rFonts w:asciiTheme="minorHAnsi" w:hAnsiTheme="minorHAnsi" w:cstheme="minorHAnsi"/>
          <w:szCs w:val="20"/>
        </w:rPr>
        <w:t>]</w:t>
      </w:r>
      <w:r w:rsidR="00FF61B4" w:rsidRPr="00AF164A">
        <w:rPr>
          <w:rFonts w:asciiTheme="minorHAnsi" w:hAnsiTheme="minorHAnsi" w:cstheme="minorHAnsi"/>
          <w:szCs w:val="20"/>
        </w:rPr>
        <w:t>.</w:t>
      </w:r>
    </w:p>
    <w:p w14:paraId="1310A6B0" w14:textId="61EFB9B6" w:rsidR="001E0755" w:rsidRPr="00AF164A" w:rsidRDefault="004E488F" w:rsidP="00AF164A">
      <w:pPr>
        <w:ind w:firstLine="0"/>
        <w:rPr>
          <w:rFonts w:asciiTheme="minorHAnsi" w:hAnsiTheme="minorHAnsi" w:cstheme="minorHAnsi"/>
          <w:szCs w:val="20"/>
        </w:rPr>
      </w:pPr>
      <w:r>
        <w:rPr>
          <w:rFonts w:asciiTheme="minorHAnsi" w:hAnsiTheme="minorHAnsi" w:cstheme="minorHAnsi"/>
          <w:szCs w:val="20"/>
        </w:rPr>
        <w:t xml:space="preserve">- </w:t>
      </w:r>
      <w:r w:rsidR="00380C0E" w:rsidRPr="00AF164A">
        <w:rPr>
          <w:rFonts w:asciiTheme="minorHAnsi" w:hAnsiTheme="minorHAnsi" w:cstheme="minorHAnsi"/>
          <w:szCs w:val="20"/>
        </w:rPr>
        <w:t>Độ cồn xác định bằng phương pháp ch</w:t>
      </w:r>
      <w:r w:rsidR="00FF61B4" w:rsidRPr="00AF164A">
        <w:rPr>
          <w:rFonts w:asciiTheme="minorHAnsi" w:hAnsiTheme="minorHAnsi" w:cstheme="minorHAnsi"/>
          <w:szCs w:val="20"/>
        </w:rPr>
        <w:t>ưng cất, sau đó đo bằng cồn kế</w:t>
      </w:r>
      <w:r w:rsidR="00014557">
        <w:rPr>
          <w:rFonts w:asciiTheme="minorHAnsi" w:hAnsiTheme="minorHAnsi" w:cstheme="minorHAnsi"/>
          <w:szCs w:val="20"/>
        </w:rPr>
        <w:t xml:space="preserve"> </w:t>
      </w:r>
      <w:r w:rsidR="00BE0F27" w:rsidRPr="00AF164A">
        <w:rPr>
          <w:rFonts w:asciiTheme="minorHAnsi" w:hAnsiTheme="minorHAnsi" w:cstheme="minorHAnsi"/>
          <w:szCs w:val="20"/>
        </w:rPr>
        <w:t>(hiệu chỉnh về</w:t>
      </w:r>
      <w:r w:rsidR="001506E6">
        <w:rPr>
          <w:rFonts w:asciiTheme="minorHAnsi" w:hAnsiTheme="minorHAnsi" w:cstheme="minorHAnsi"/>
          <w:szCs w:val="20"/>
        </w:rPr>
        <w:t xml:space="preserve"> nhiệt độ</w:t>
      </w:r>
      <w:r w:rsidR="00BE0F27" w:rsidRPr="00AF164A">
        <w:rPr>
          <w:rFonts w:asciiTheme="minorHAnsi" w:hAnsiTheme="minorHAnsi" w:cstheme="minorHAnsi"/>
          <w:szCs w:val="20"/>
        </w:rPr>
        <w:t xml:space="preserve"> 20</w:t>
      </w:r>
      <w:r w:rsidR="00BE0F27" w:rsidRPr="00AF164A">
        <w:rPr>
          <w:rFonts w:asciiTheme="minorHAnsi" w:hAnsiTheme="minorHAnsi" w:cstheme="minorHAnsi"/>
          <w:szCs w:val="20"/>
          <w:vertAlign w:val="superscript"/>
        </w:rPr>
        <w:t>o</w:t>
      </w:r>
      <w:r w:rsidR="00BE0F27" w:rsidRPr="00AF164A">
        <w:rPr>
          <w:rFonts w:asciiTheme="minorHAnsi" w:hAnsiTheme="minorHAnsi" w:cstheme="minorHAnsi"/>
          <w:szCs w:val="20"/>
        </w:rPr>
        <w:t>C)</w:t>
      </w:r>
      <w:r w:rsidR="00FF61B4" w:rsidRPr="00AF164A">
        <w:rPr>
          <w:rFonts w:asciiTheme="minorHAnsi" w:hAnsiTheme="minorHAnsi" w:cstheme="minorHAnsi"/>
          <w:szCs w:val="20"/>
        </w:rPr>
        <w:t xml:space="preserve"> [1].</w:t>
      </w:r>
    </w:p>
    <w:p w14:paraId="606800B2" w14:textId="61EF2DE8" w:rsidR="00014557" w:rsidRPr="00AF164A" w:rsidRDefault="004E488F" w:rsidP="00AF164A">
      <w:pPr>
        <w:ind w:firstLine="0"/>
        <w:rPr>
          <w:rFonts w:asciiTheme="minorHAnsi" w:hAnsiTheme="minorHAnsi" w:cstheme="minorHAnsi"/>
          <w:szCs w:val="20"/>
        </w:rPr>
      </w:pPr>
      <w:r>
        <w:rPr>
          <w:rFonts w:asciiTheme="minorHAnsi" w:hAnsiTheme="minorHAnsi" w:cstheme="minorHAnsi"/>
          <w:szCs w:val="20"/>
        </w:rPr>
        <w:t xml:space="preserve">- </w:t>
      </w:r>
      <w:r w:rsidR="001E0755" w:rsidRPr="00AF164A">
        <w:rPr>
          <w:rFonts w:asciiTheme="minorHAnsi" w:hAnsiTheme="minorHAnsi" w:cstheme="minorHAnsi"/>
          <w:szCs w:val="20"/>
        </w:rPr>
        <w:t>M</w:t>
      </w:r>
      <w:r w:rsidR="00380C0E" w:rsidRPr="00AF164A">
        <w:rPr>
          <w:rFonts w:asciiTheme="minorHAnsi" w:hAnsiTheme="minorHAnsi" w:cstheme="minorHAnsi"/>
          <w:szCs w:val="20"/>
        </w:rPr>
        <w:t xml:space="preserve">ật độ tế bào </w:t>
      </w:r>
      <w:r w:rsidR="001E0755" w:rsidRPr="00AF164A">
        <w:rPr>
          <w:rFonts w:asciiTheme="minorHAnsi" w:hAnsiTheme="minorHAnsi" w:cstheme="minorHAnsi"/>
          <w:szCs w:val="20"/>
        </w:rPr>
        <w:t xml:space="preserve">được xác định </w:t>
      </w:r>
      <w:r w:rsidR="00380C0E" w:rsidRPr="00AF164A">
        <w:rPr>
          <w:rFonts w:asciiTheme="minorHAnsi" w:hAnsiTheme="minorHAnsi" w:cstheme="minorHAnsi"/>
          <w:szCs w:val="20"/>
        </w:rPr>
        <w:t>bằng buồng đếm hồng cầu Thomas.</w:t>
      </w:r>
      <w:r w:rsidR="003934B2" w:rsidRPr="00AF164A">
        <w:rPr>
          <w:rFonts w:asciiTheme="minorHAnsi" w:hAnsiTheme="minorHAnsi" w:cstheme="minorHAnsi"/>
          <w:szCs w:val="20"/>
        </w:rPr>
        <w:t xml:space="preserve"> Dùng micropipette lấy 1 giọt mẫu cần xác định cho vào buồng đếm, phủ bằng một lá kính mỏng, phẳng. Đếm số tế bào nấm men dưới kính h</w:t>
      </w:r>
      <w:r w:rsidR="000218E7" w:rsidRPr="00AF164A">
        <w:rPr>
          <w:rFonts w:asciiTheme="minorHAnsi" w:hAnsiTheme="minorHAnsi" w:cstheme="minorHAnsi"/>
          <w:szCs w:val="20"/>
        </w:rPr>
        <w:t xml:space="preserve">iển </w:t>
      </w:r>
      <w:r w:rsidR="003934B2" w:rsidRPr="00AF164A">
        <w:rPr>
          <w:rFonts w:asciiTheme="minorHAnsi" w:hAnsiTheme="minorHAnsi" w:cstheme="minorHAnsi"/>
          <w:szCs w:val="20"/>
        </w:rPr>
        <w:t>vi [</w:t>
      </w:r>
      <w:r w:rsidR="00FF61B4" w:rsidRPr="00AF164A">
        <w:rPr>
          <w:rFonts w:asciiTheme="minorHAnsi" w:hAnsiTheme="minorHAnsi" w:cstheme="minorHAnsi"/>
          <w:szCs w:val="20"/>
        </w:rPr>
        <w:t>1</w:t>
      </w:r>
      <w:r w:rsidR="003934B2" w:rsidRPr="00AF164A">
        <w:rPr>
          <w:rFonts w:asciiTheme="minorHAnsi" w:hAnsiTheme="minorHAnsi" w:cstheme="minorHAnsi"/>
          <w:szCs w:val="20"/>
        </w:rPr>
        <w:t>].</w:t>
      </w:r>
    </w:p>
    <w:p w14:paraId="10EFA83A" w14:textId="40BFD362" w:rsidR="00AA4A95" w:rsidRPr="001D104D" w:rsidRDefault="00014557" w:rsidP="00AF164A">
      <w:pPr>
        <w:ind w:firstLine="0"/>
      </w:pPr>
      <w:r>
        <w:t xml:space="preserve">- </w:t>
      </w:r>
      <w:r w:rsidR="00FB23FA" w:rsidRPr="00590CBC">
        <w:t xml:space="preserve">Phương pháp phân lập nấm </w:t>
      </w:r>
      <w:r w:rsidR="00FB23FA" w:rsidRPr="00CF5457">
        <w:t xml:space="preserve">men </w:t>
      </w:r>
      <w:r w:rsidR="000218E7" w:rsidRPr="00CF5457">
        <w:t>thuần khiết</w:t>
      </w:r>
      <w:r w:rsidR="00CF5457" w:rsidRPr="00CF5457">
        <w:t>:</w:t>
      </w:r>
      <w:r>
        <w:t xml:space="preserve"> </w:t>
      </w:r>
      <w:r w:rsidR="004449ED" w:rsidRPr="00CF5457">
        <w:t xml:space="preserve">Lấy 1 ml dịch nhựa cây đoác rồi tiến hành pha loãng. Sau đó, nuôi </w:t>
      </w:r>
      <w:r w:rsidR="004449ED" w:rsidRPr="001D104D">
        <w:t xml:space="preserve">trên đĩa petri đặc với môi trường Hansen, ở nhiệt độ </w:t>
      </w:r>
      <w:r w:rsidR="004449ED" w:rsidRPr="00D44BDE">
        <w:t>28-30</w:t>
      </w:r>
      <w:r w:rsidR="004449ED" w:rsidRPr="00D44BDE">
        <w:rPr>
          <w:vertAlign w:val="superscript"/>
        </w:rPr>
        <w:t>o</w:t>
      </w:r>
      <w:r w:rsidR="00595C91">
        <w:t>C trong 48-72 giờ. T</w:t>
      </w:r>
      <w:r w:rsidR="004449ED" w:rsidRPr="00590CBC">
        <w:t>hu nhận khuẩn lạc mọc tách rời và cấy vào ống thạch nghiêng, tiếp tục nuôi cùng nhiệt độ với thời gian như trên. Sau đó, loại bỏ các ống bị nhiễm và chọn ra các ống có chủng thuần khiết</w:t>
      </w:r>
      <w:r w:rsidR="004E488F">
        <w:t xml:space="preserve"> </w:t>
      </w:r>
      <w:r w:rsidR="005D6BF3" w:rsidRPr="00AF164A">
        <w:t>[</w:t>
      </w:r>
      <w:r w:rsidR="00957C4E" w:rsidRPr="00AF164A">
        <w:t>9</w:t>
      </w:r>
      <w:r w:rsidR="005D6BF3" w:rsidRPr="00AF164A">
        <w:t>]</w:t>
      </w:r>
      <w:r w:rsidR="00C24F2A" w:rsidRPr="00AF164A">
        <w:t>.</w:t>
      </w:r>
    </w:p>
    <w:p w14:paraId="551565CD" w14:textId="612CBCFB" w:rsidR="001D104D" w:rsidRDefault="004E488F" w:rsidP="00AF164A">
      <w:pPr>
        <w:ind w:firstLine="0"/>
        <w:rPr>
          <w:rFonts w:asciiTheme="minorHAnsi" w:hAnsiTheme="minorHAnsi" w:cstheme="minorHAnsi"/>
          <w:szCs w:val="20"/>
        </w:rPr>
      </w:pPr>
      <w:r>
        <w:rPr>
          <w:rFonts w:asciiTheme="minorHAnsi" w:hAnsiTheme="minorHAnsi" w:cstheme="minorHAnsi"/>
          <w:szCs w:val="20"/>
        </w:rPr>
        <w:t xml:space="preserve">- </w:t>
      </w:r>
      <w:r w:rsidR="003E3543">
        <w:rPr>
          <w:rFonts w:asciiTheme="minorHAnsi" w:hAnsiTheme="minorHAnsi" w:cstheme="minorHAnsi"/>
          <w:szCs w:val="20"/>
        </w:rPr>
        <w:t xml:space="preserve">Xử lí số liệu </w:t>
      </w:r>
      <w:r w:rsidR="00595C91">
        <w:rPr>
          <w:rFonts w:asciiTheme="minorHAnsi" w:hAnsiTheme="minorHAnsi" w:cstheme="minorHAnsi"/>
          <w:szCs w:val="20"/>
        </w:rPr>
        <w:t xml:space="preserve">bằng </w:t>
      </w:r>
      <w:r w:rsidR="003E3543" w:rsidRPr="00AF164A">
        <w:rPr>
          <w:szCs w:val="20"/>
        </w:rPr>
        <w:t>phân tích phương sai ANOVA</w:t>
      </w:r>
      <w:r w:rsidR="00CB13F1">
        <w:rPr>
          <w:szCs w:val="20"/>
        </w:rPr>
        <w:t xml:space="preserve"> một </w:t>
      </w:r>
      <w:r w:rsidR="003E3543" w:rsidRPr="00AF164A">
        <w:rPr>
          <w:szCs w:val="20"/>
        </w:rPr>
        <w:t>yếu tố để đánh giá mức độ khác nhau có nghĩa hay không có nghĩa giữa các mẫu</w:t>
      </w:r>
      <w:r w:rsidR="00595C91">
        <w:rPr>
          <w:szCs w:val="20"/>
        </w:rPr>
        <w:t>, sử dụng</w:t>
      </w:r>
      <w:r w:rsidR="00595C91">
        <w:rPr>
          <w:rFonts w:asciiTheme="minorHAnsi" w:hAnsiTheme="minorHAnsi" w:cstheme="minorHAnsi"/>
          <w:szCs w:val="20"/>
        </w:rPr>
        <w:t xml:space="preserve"> phần mềm Minitab 16.2.0</w:t>
      </w:r>
      <w:r w:rsidR="003E3543" w:rsidRPr="00AF164A">
        <w:rPr>
          <w:szCs w:val="20"/>
        </w:rPr>
        <w:t>.</w:t>
      </w:r>
    </w:p>
    <w:p w14:paraId="30EF542C" w14:textId="12517F56" w:rsidR="00380C0E" w:rsidRPr="00704DC1" w:rsidRDefault="004E488F" w:rsidP="00AF164A">
      <w:pPr>
        <w:ind w:firstLine="0"/>
        <w:rPr>
          <w:rFonts w:asciiTheme="minorHAnsi" w:hAnsiTheme="minorHAnsi" w:cstheme="minorHAnsi"/>
          <w:szCs w:val="20"/>
        </w:rPr>
      </w:pPr>
      <w:r>
        <w:rPr>
          <w:rFonts w:asciiTheme="minorHAnsi" w:hAnsiTheme="minorHAnsi" w:cstheme="minorHAnsi"/>
          <w:szCs w:val="20"/>
        </w:rPr>
        <w:t xml:space="preserve">- </w:t>
      </w:r>
      <w:r w:rsidR="00380C0E" w:rsidRPr="00704DC1">
        <w:rPr>
          <w:rFonts w:asciiTheme="minorHAnsi" w:hAnsiTheme="minorHAnsi" w:cstheme="minorHAnsi"/>
          <w:szCs w:val="20"/>
        </w:rPr>
        <w:t>Trong nghiên cứu này, các yếu tố ảnh hưởng đến quá trình lên men như:</w:t>
      </w:r>
      <w:r>
        <w:rPr>
          <w:rFonts w:asciiTheme="minorHAnsi" w:hAnsiTheme="minorHAnsi" w:cstheme="minorHAnsi"/>
          <w:szCs w:val="20"/>
        </w:rPr>
        <w:t xml:space="preserve"> </w:t>
      </w:r>
      <w:r w:rsidR="00380C0E" w:rsidRPr="00704DC1">
        <w:rPr>
          <w:rFonts w:asciiTheme="minorHAnsi" w:hAnsiTheme="minorHAnsi" w:cstheme="minorHAnsi"/>
          <w:szCs w:val="20"/>
        </w:rPr>
        <w:t>mật độ tế bào</w:t>
      </w:r>
      <w:r w:rsidR="00CC78CF">
        <w:rPr>
          <w:rFonts w:asciiTheme="minorHAnsi" w:hAnsiTheme="minorHAnsi" w:cstheme="minorHAnsi"/>
          <w:szCs w:val="20"/>
        </w:rPr>
        <w:t xml:space="preserve"> </w:t>
      </w:r>
      <m:oMath>
        <m:r>
          <w:rPr>
            <w:rFonts w:ascii="Cambria Math" w:hAnsi="Cambria Math"/>
            <w:szCs w:val="20"/>
          </w:rPr>
          <m:t>1×</m:t>
        </m:r>
        <m:sSup>
          <m:sSupPr>
            <m:ctrlPr>
              <w:rPr>
                <w:rFonts w:ascii="Cambria Math" w:hAnsi="Cambria Math"/>
                <w:i/>
                <w:szCs w:val="20"/>
              </w:rPr>
            </m:ctrlPr>
          </m:sSupPr>
          <m:e>
            <m:r>
              <w:rPr>
                <w:rFonts w:ascii="Cambria Math" w:hAnsi="Cambria Math"/>
                <w:szCs w:val="20"/>
              </w:rPr>
              <m:t>10</m:t>
            </m:r>
          </m:e>
          <m:sup>
            <m:r>
              <w:rPr>
                <w:rFonts w:ascii="Cambria Math" w:hAnsi="Cambria Math"/>
                <w:szCs w:val="20"/>
              </w:rPr>
              <m:t>8</m:t>
            </m:r>
          </m:sup>
        </m:sSup>
        <m:r>
          <w:rPr>
            <w:rFonts w:ascii="Cambria Math" w:hAnsi="Cambria Math"/>
            <w:szCs w:val="20"/>
          </w:rPr>
          <m:t xml:space="preserve"> </m:t>
        </m:r>
      </m:oMath>
      <w:r w:rsidR="00CC78CF" w:rsidRPr="0003625A">
        <w:rPr>
          <w:szCs w:val="20"/>
        </w:rPr>
        <w:t>tế bào/ml</w:t>
      </w:r>
      <w:r w:rsidR="00380C0E" w:rsidRPr="00704DC1">
        <w:rPr>
          <w:rFonts w:asciiTheme="minorHAnsi" w:hAnsiTheme="minorHAnsi" w:cstheme="minorHAnsi"/>
          <w:szCs w:val="20"/>
        </w:rPr>
        <w:t xml:space="preserve"> và tỉ lệ giống cho vào quá trình lên men</w:t>
      </w:r>
      <w:r w:rsidR="00CC78CF">
        <w:rPr>
          <w:rFonts w:asciiTheme="minorHAnsi" w:hAnsiTheme="minorHAnsi" w:cstheme="minorHAnsi"/>
          <w:szCs w:val="20"/>
        </w:rPr>
        <w:t xml:space="preserve"> là 3%</w:t>
      </w:r>
      <w:r w:rsidR="00380C0E" w:rsidRPr="00704DC1">
        <w:rPr>
          <w:rFonts w:asciiTheme="minorHAnsi" w:hAnsiTheme="minorHAnsi" w:cstheme="minorHAnsi"/>
          <w:szCs w:val="20"/>
        </w:rPr>
        <w:t>, tỉ lệ dịch chiết vỏ cây chuồn cho vào quá trình lên men</w:t>
      </w:r>
      <w:r w:rsidR="00CC78CF">
        <w:rPr>
          <w:rFonts w:asciiTheme="minorHAnsi" w:hAnsiTheme="minorHAnsi" w:cstheme="minorHAnsi"/>
          <w:szCs w:val="20"/>
        </w:rPr>
        <w:t xml:space="preserve"> là 4%</w:t>
      </w:r>
      <w:r w:rsidR="00EE1978">
        <w:rPr>
          <w:rFonts w:asciiTheme="minorHAnsi" w:hAnsiTheme="minorHAnsi" w:cstheme="minorHAnsi"/>
          <w:szCs w:val="20"/>
        </w:rPr>
        <w:t xml:space="preserve"> (brix bằng 8)</w:t>
      </w:r>
      <w:r w:rsidR="00380C0E" w:rsidRPr="00704DC1">
        <w:rPr>
          <w:rFonts w:asciiTheme="minorHAnsi" w:hAnsiTheme="minorHAnsi" w:cstheme="minorHAnsi"/>
          <w:szCs w:val="20"/>
        </w:rPr>
        <w:t>, được thừa kế từ nghiên cứu của tác giả Nguyễn Thị Hồng Thu</w:t>
      </w:r>
      <w:r w:rsidR="00595C91">
        <w:rPr>
          <w:rFonts w:asciiTheme="minorHAnsi" w:hAnsiTheme="minorHAnsi" w:cstheme="minorHAnsi"/>
          <w:szCs w:val="20"/>
        </w:rPr>
        <w:t xml:space="preserve"> </w:t>
      </w:r>
      <w:r w:rsidR="00380C0E" w:rsidRPr="00704DC1">
        <w:rPr>
          <w:rFonts w:asciiTheme="minorHAnsi" w:hAnsiTheme="minorHAnsi" w:cstheme="minorHAnsi"/>
          <w:szCs w:val="20"/>
        </w:rPr>
        <w:t>[</w:t>
      </w:r>
      <w:r w:rsidR="00957C4E">
        <w:rPr>
          <w:rFonts w:asciiTheme="minorHAnsi" w:hAnsiTheme="minorHAnsi" w:cstheme="minorHAnsi"/>
          <w:szCs w:val="20"/>
        </w:rPr>
        <w:t>4</w:t>
      </w:r>
      <w:r w:rsidR="00380C0E" w:rsidRPr="00704DC1">
        <w:rPr>
          <w:rFonts w:asciiTheme="minorHAnsi" w:hAnsiTheme="minorHAnsi" w:cstheme="minorHAnsi"/>
          <w:szCs w:val="20"/>
        </w:rPr>
        <w:t xml:space="preserve">]. </w:t>
      </w:r>
    </w:p>
    <w:p w14:paraId="687CE8A2" w14:textId="77777777" w:rsidR="00380C0E" w:rsidRPr="00380C0E" w:rsidRDefault="00380C0E" w:rsidP="00380C0E">
      <w:pPr>
        <w:pStyle w:val="Heading1"/>
      </w:pPr>
      <w:r>
        <w:t>Kết quả và thảo luận</w:t>
      </w:r>
    </w:p>
    <w:p w14:paraId="1AF58817" w14:textId="77777777" w:rsidR="00617E71" w:rsidRPr="00AF164A" w:rsidRDefault="00963AFD" w:rsidP="00AF164A">
      <w:pPr>
        <w:pStyle w:val="Heading3"/>
        <w:numPr>
          <w:ilvl w:val="0"/>
          <w:numId w:val="0"/>
        </w:numPr>
        <w:rPr>
          <w:b/>
        </w:rPr>
      </w:pPr>
      <w:r w:rsidRPr="00AF164A">
        <w:rPr>
          <w:b/>
        </w:rPr>
        <w:t xml:space="preserve">3.1. </w:t>
      </w:r>
      <w:r w:rsidR="00704DC1" w:rsidRPr="00AF164A">
        <w:rPr>
          <w:b/>
        </w:rPr>
        <w:t>Phân lập c</w:t>
      </w:r>
      <w:r w:rsidR="00BF17B8" w:rsidRPr="00AF164A">
        <w:rPr>
          <w:b/>
        </w:rPr>
        <w:t xml:space="preserve">hủng nấm men </w:t>
      </w:r>
      <w:r w:rsidR="00B7127F" w:rsidRPr="00AF164A">
        <w:rPr>
          <w:b/>
        </w:rPr>
        <w:t>từ dịch nhựa cây đoác</w:t>
      </w:r>
    </w:p>
    <w:p w14:paraId="587289C9" w14:textId="77777777" w:rsidR="00A90C96" w:rsidRPr="00A90C96" w:rsidRDefault="00B7127F" w:rsidP="00B7127F">
      <w:pPr>
        <w:rPr>
          <w:szCs w:val="20"/>
        </w:rPr>
      </w:pPr>
      <w:r>
        <w:rPr>
          <w:szCs w:val="20"/>
        </w:rPr>
        <w:t xml:space="preserve"> </w:t>
      </w:r>
      <w:r w:rsidR="003E3543">
        <w:rPr>
          <w:szCs w:val="20"/>
        </w:rPr>
        <w:t xml:space="preserve">Sau khi tiến hành phân lập thu được chủng nấm men thuần khiết. </w:t>
      </w:r>
      <w:r>
        <w:rPr>
          <w:szCs w:val="20"/>
        </w:rPr>
        <w:t>Đ</w:t>
      </w:r>
      <w:r w:rsidRPr="00D842AF">
        <w:rPr>
          <w:szCs w:val="20"/>
        </w:rPr>
        <w:t>ể chắc chắn đây là chủng nấm men</w:t>
      </w:r>
      <w:r>
        <w:rPr>
          <w:szCs w:val="20"/>
        </w:rPr>
        <w:t>, c</w:t>
      </w:r>
      <w:r w:rsidRPr="00D842AF">
        <w:rPr>
          <w:szCs w:val="20"/>
        </w:rPr>
        <w:t xml:space="preserve">húng tôi tiến hành nhuộm màu </w:t>
      </w:r>
      <w:r>
        <w:rPr>
          <w:szCs w:val="20"/>
        </w:rPr>
        <w:t xml:space="preserve">các khuẩn lạc </w:t>
      </w:r>
      <w:r w:rsidRPr="00D842AF">
        <w:rPr>
          <w:szCs w:val="20"/>
        </w:rPr>
        <w:t>bằng methylen xanh</w:t>
      </w:r>
      <w:r>
        <w:rPr>
          <w:szCs w:val="20"/>
        </w:rPr>
        <w:t xml:space="preserve"> và</w:t>
      </w:r>
      <w:r w:rsidRPr="00D842AF">
        <w:rPr>
          <w:szCs w:val="20"/>
        </w:rPr>
        <w:t xml:space="preserve"> ủ 2 ngày ở </w:t>
      </w:r>
      <w:r w:rsidR="008C7E2A">
        <w:rPr>
          <w:szCs w:val="20"/>
        </w:rPr>
        <w:t xml:space="preserve"> 28</w:t>
      </w:r>
      <w:r w:rsidR="00E44E17">
        <w:rPr>
          <w:szCs w:val="20"/>
        </w:rPr>
        <w:t xml:space="preserve"> </w:t>
      </w:r>
      <w:r w:rsidR="008C7E2A">
        <w:rPr>
          <w:szCs w:val="20"/>
          <w:vertAlign w:val="superscript"/>
        </w:rPr>
        <w:t>o</w:t>
      </w:r>
      <w:r w:rsidR="008C7E2A">
        <w:rPr>
          <w:szCs w:val="20"/>
        </w:rPr>
        <w:t>C</w:t>
      </w:r>
      <w:r w:rsidR="00E44E17">
        <w:rPr>
          <w:szCs w:val="20"/>
        </w:rPr>
        <w:t xml:space="preserve"> </w:t>
      </w:r>
      <w:r w:rsidR="008C7E2A">
        <w:rPr>
          <w:szCs w:val="20"/>
        </w:rPr>
        <w:t>-</w:t>
      </w:r>
      <w:r w:rsidR="00E44E17">
        <w:rPr>
          <w:szCs w:val="20"/>
        </w:rPr>
        <w:t xml:space="preserve"> </w:t>
      </w:r>
      <w:r w:rsidR="008C7E2A">
        <w:rPr>
          <w:szCs w:val="20"/>
        </w:rPr>
        <w:t>30</w:t>
      </w:r>
      <w:r w:rsidR="00E44E17">
        <w:rPr>
          <w:szCs w:val="20"/>
        </w:rPr>
        <w:t xml:space="preserve"> </w:t>
      </w:r>
      <w:r w:rsidR="000B671E">
        <w:rPr>
          <w:szCs w:val="20"/>
          <w:vertAlign w:val="superscript"/>
        </w:rPr>
        <w:t>o</w:t>
      </w:r>
      <w:r w:rsidR="00363C40">
        <w:rPr>
          <w:szCs w:val="20"/>
        </w:rPr>
        <w:t>C</w:t>
      </w:r>
      <w:r w:rsidRPr="00D842AF">
        <w:rPr>
          <w:szCs w:val="20"/>
        </w:rPr>
        <w:t xml:space="preserve">, kết quả </w:t>
      </w:r>
      <w:r>
        <w:rPr>
          <w:szCs w:val="20"/>
        </w:rPr>
        <w:t>được thể hiện</w:t>
      </w:r>
      <w:r w:rsidRPr="00D842AF">
        <w:rPr>
          <w:szCs w:val="20"/>
        </w:rPr>
        <w:t xml:space="preserve"> ở hình 1</w:t>
      </w:r>
      <w:r>
        <w:rPr>
          <w:szCs w:val="20"/>
        </w:rPr>
        <w:t>.</w:t>
      </w:r>
    </w:p>
    <w:p w14:paraId="3D1CBD09" w14:textId="77777777" w:rsidR="0061590C" w:rsidRPr="00704DC1" w:rsidRDefault="0061590C" w:rsidP="00B7127F">
      <w:pPr>
        <w:rPr>
          <w:color w:val="FF0000"/>
        </w:rPr>
      </w:pPr>
    </w:p>
    <w:p w14:paraId="128CD405" w14:textId="77777777" w:rsidR="00680995" w:rsidRDefault="00BF17B8" w:rsidP="00D24514">
      <w:pPr>
        <w:jc w:val="center"/>
      </w:pPr>
      <w:r w:rsidRPr="00275097">
        <w:rPr>
          <w:noProof/>
          <w:color w:val="FF0000"/>
          <w:sz w:val="28"/>
        </w:rPr>
        <w:drawing>
          <wp:inline distT="0" distB="0" distL="0" distR="0" wp14:anchorId="6748FE39" wp14:editId="764DC7D7">
            <wp:extent cx="1623484" cy="1600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10000"/>
                              </a14:imgEffect>
                              <a14:imgEffect>
                                <a14:brightnessContrast bright="12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1636032" cy="1612568"/>
                    </a:xfrm>
                    <a:prstGeom prst="rect">
                      <a:avLst/>
                    </a:prstGeom>
                    <a:noFill/>
                    <a:ln>
                      <a:noFill/>
                    </a:ln>
                  </pic:spPr>
                </pic:pic>
              </a:graphicData>
            </a:graphic>
          </wp:inline>
        </w:drawing>
      </w:r>
    </w:p>
    <w:p w14:paraId="3FAE7DD0" w14:textId="77777777" w:rsidR="009546B4" w:rsidRPr="008C7E2A" w:rsidRDefault="00680995" w:rsidP="00BF17B8">
      <w:pPr>
        <w:pStyle w:val="Caption"/>
        <w:rPr>
          <w:i w:val="0"/>
        </w:rPr>
      </w:pPr>
      <w:r>
        <w:rPr>
          <w:b/>
        </w:rPr>
        <w:t>Hình 1:</w:t>
      </w:r>
      <w:r w:rsidRPr="00220475">
        <w:t xml:space="preserve"> </w:t>
      </w:r>
      <w:r w:rsidR="00BF17B8" w:rsidRPr="00275097">
        <w:rPr>
          <w:noProof/>
        </w:rPr>
        <w:t xml:space="preserve">Khuẩn lạc của nấm men phân lập từ dịch nhựa cây </w:t>
      </w:r>
      <w:r w:rsidR="0044130A">
        <w:rPr>
          <w:noProof/>
        </w:rPr>
        <w:t>đ</w:t>
      </w:r>
      <w:r w:rsidR="00BF17B8">
        <w:rPr>
          <w:noProof/>
        </w:rPr>
        <w:t>oác</w:t>
      </w:r>
      <w:r w:rsidR="008C7E2A">
        <w:rPr>
          <w:i w:val="0"/>
        </w:rPr>
        <w:t>.</w:t>
      </w:r>
    </w:p>
    <w:p w14:paraId="241D5EAB" w14:textId="4BFC0589" w:rsidR="00FB088F" w:rsidRPr="00966728" w:rsidRDefault="00FB088F" w:rsidP="00966728">
      <w:pPr>
        <w:ind w:firstLine="0"/>
        <w:rPr>
          <w:szCs w:val="20"/>
        </w:rPr>
      </w:pPr>
      <w:r w:rsidRPr="00F27B15">
        <w:rPr>
          <w:szCs w:val="20"/>
        </w:rPr>
        <w:t>Chúng tôi nhận thấy rằng, khuẩn lạc có hình tròn,</w:t>
      </w:r>
      <w:r>
        <w:rPr>
          <w:szCs w:val="20"/>
        </w:rPr>
        <w:t xml:space="preserve"> màu trắng </w:t>
      </w:r>
      <w:r w:rsidRPr="00F27B15">
        <w:rPr>
          <w:szCs w:val="20"/>
        </w:rPr>
        <w:t>đục, bề mặt trơn, bóng. Các khuẩn lạc này đã chuyển màu của methylen xanh sang không màu. Chứng tỏ, tất cả các khuẩn lạc này là khuẩn lạc của nấm men, vì chỉ có tế bào sống của nấm men mới có khả năng</w:t>
      </w:r>
      <w:r w:rsidR="009E76D6">
        <w:rPr>
          <w:szCs w:val="20"/>
        </w:rPr>
        <w:t xml:space="preserve"> </w:t>
      </w:r>
      <w:r w:rsidRPr="00F27B15">
        <w:rPr>
          <w:szCs w:val="20"/>
        </w:rPr>
        <w:t xml:space="preserve">chuyển màu của methylene xanh sang không màu </w:t>
      </w:r>
      <w:r w:rsidR="00D842AF">
        <w:rPr>
          <w:szCs w:val="20"/>
        </w:rPr>
        <w:t>nhờ</w:t>
      </w:r>
      <w:r w:rsidRPr="00F27B15">
        <w:rPr>
          <w:szCs w:val="20"/>
        </w:rPr>
        <w:t xml:space="preserve"> enzyme có khả năng chuyển màu, còn tế bào chết thì enzyme không còn hoạt động nữa, nên sẽ </w:t>
      </w:r>
      <w:r>
        <w:rPr>
          <w:szCs w:val="20"/>
        </w:rPr>
        <w:t xml:space="preserve">giữ màu của methylene xanh </w:t>
      </w:r>
      <w:r w:rsidRPr="003723E7">
        <w:rPr>
          <w:szCs w:val="20"/>
        </w:rPr>
        <w:t>[1].</w:t>
      </w:r>
    </w:p>
    <w:p w14:paraId="15C59240" w14:textId="77777777" w:rsidR="009546B4" w:rsidRPr="0098186B" w:rsidRDefault="00BE0F27" w:rsidP="00AF164A">
      <w:pPr>
        <w:pStyle w:val="Heading3"/>
        <w:numPr>
          <w:ilvl w:val="0"/>
          <w:numId w:val="0"/>
        </w:numPr>
        <w:rPr>
          <w:b/>
        </w:rPr>
      </w:pPr>
      <w:r>
        <w:rPr>
          <w:b/>
        </w:rPr>
        <w:t xml:space="preserve">3.2. </w:t>
      </w:r>
      <w:r w:rsidR="00D842AF">
        <w:rPr>
          <w:b/>
        </w:rPr>
        <w:t>Đánh giá</w:t>
      </w:r>
      <w:r w:rsidR="00BF17B8" w:rsidRPr="0098186B">
        <w:rPr>
          <w:b/>
        </w:rPr>
        <w:t xml:space="preserve"> hoạt lực </w:t>
      </w:r>
      <w:r w:rsidR="00E44E17">
        <w:rPr>
          <w:b/>
        </w:rPr>
        <w:t xml:space="preserve">lên men </w:t>
      </w:r>
      <w:r w:rsidR="00BF17B8" w:rsidRPr="0098186B">
        <w:rPr>
          <w:b/>
        </w:rPr>
        <w:t>của chủng nấm men mới phân lập</w:t>
      </w:r>
    </w:p>
    <w:p w14:paraId="578869B4" w14:textId="389D5B31" w:rsidR="004F6A1F" w:rsidRPr="007F7FD1" w:rsidRDefault="00D842AF" w:rsidP="007F7FD1">
      <w:pPr>
        <w:rPr>
          <w:szCs w:val="20"/>
        </w:rPr>
      </w:pPr>
      <w:r w:rsidRPr="00805651">
        <w:rPr>
          <w:color w:val="000000"/>
          <w:szCs w:val="20"/>
        </w:rPr>
        <w:t xml:space="preserve">Quá trình lên men rượu chịu ảnh hưởng của nhiều yếu tố khác nhau như tốc độ tiếp giống nấm men, hàm lượng đường tổng, nhiệt độ, pH của môi trường…Tuy nhiên, chất lượng nấm men là yếu tố trọng yếu đối với tính ổn định của quá trình lên men cũng như chất lượng rượu. Bởi vậy, việc kiểm tra chính xác chất lượng nấm men sẽ cải thiện kỹ thuật xử lý nấm men và ổn định quá trình lên men. Do đó, chúng tôi tiến hành </w:t>
      </w:r>
      <w:r>
        <w:rPr>
          <w:color w:val="000000"/>
          <w:szCs w:val="20"/>
        </w:rPr>
        <w:t>đánh giá</w:t>
      </w:r>
      <w:r w:rsidRPr="00805651">
        <w:rPr>
          <w:color w:val="000000"/>
          <w:szCs w:val="20"/>
        </w:rPr>
        <w:t xml:space="preserve"> hoạt lực lên men của chủng nấm men sau khi phân lập</w:t>
      </w:r>
      <w:r w:rsidR="0003625A">
        <w:rPr>
          <w:color w:val="000000"/>
          <w:szCs w:val="20"/>
        </w:rPr>
        <w:t xml:space="preserve"> bằng cách lên men rượu </w:t>
      </w:r>
      <w:r w:rsidR="009D2044">
        <w:rPr>
          <w:color w:val="000000"/>
          <w:szCs w:val="20"/>
        </w:rPr>
        <w:t xml:space="preserve">ở nhiệt độ phòng </w:t>
      </w:r>
      <w:r w:rsidR="002A695F" w:rsidRPr="00FB05FC">
        <w:rPr>
          <w:color w:val="FF0000"/>
          <w:szCs w:val="20"/>
        </w:rPr>
        <w:t>(</w:t>
      </w:r>
      <w:r w:rsidR="002A695F" w:rsidRPr="00FB05FC">
        <w:rPr>
          <w:noProof/>
          <w:color w:val="FF0000"/>
          <w:szCs w:val="20"/>
        </w:rPr>
        <w:t>28–32</w:t>
      </w:r>
      <w:r w:rsidR="002A695F" w:rsidRPr="00FB05FC">
        <w:rPr>
          <w:noProof/>
          <w:color w:val="FF0000"/>
          <w:szCs w:val="20"/>
          <w:vertAlign w:val="superscript"/>
        </w:rPr>
        <w:t>o</w:t>
      </w:r>
      <w:r w:rsidR="002A695F" w:rsidRPr="00FB05FC">
        <w:rPr>
          <w:noProof/>
          <w:color w:val="FF0000"/>
          <w:szCs w:val="20"/>
        </w:rPr>
        <w:t>C, sự biến thiên</w:t>
      </w:r>
      <w:r w:rsidR="00F041EF" w:rsidRPr="00FB05FC">
        <w:rPr>
          <w:noProof/>
          <w:color w:val="FF0000"/>
          <w:szCs w:val="20"/>
        </w:rPr>
        <w:t xml:space="preserve"> khoảng</w:t>
      </w:r>
      <w:r w:rsidR="002A695F" w:rsidRPr="00FB05FC">
        <w:rPr>
          <w:noProof/>
          <w:color w:val="FF0000"/>
          <w:szCs w:val="20"/>
        </w:rPr>
        <w:t xml:space="preserve"> nhiệt độ này không ảnh hưởng đến quá trình lên men</w:t>
      </w:r>
      <w:r w:rsidR="007154F8" w:rsidRPr="00FB05FC">
        <w:rPr>
          <w:noProof/>
          <w:color w:val="FF0000"/>
          <w:szCs w:val="20"/>
        </w:rPr>
        <w:t xml:space="preserve"> </w:t>
      </w:r>
      <w:r w:rsidR="002A695F" w:rsidRPr="00FB05FC">
        <w:rPr>
          <w:noProof/>
          <w:color w:val="FF0000"/>
          <w:szCs w:val="20"/>
        </w:rPr>
        <w:t>[</w:t>
      </w:r>
      <w:r w:rsidR="00CD5700" w:rsidRPr="00FB05FC">
        <w:rPr>
          <w:noProof/>
          <w:color w:val="FF0000"/>
          <w:szCs w:val="20"/>
        </w:rPr>
        <w:t>2]</w:t>
      </w:r>
      <w:r w:rsidR="002A695F" w:rsidRPr="00FB05FC">
        <w:rPr>
          <w:color w:val="FF0000"/>
          <w:szCs w:val="20"/>
        </w:rPr>
        <w:t>)</w:t>
      </w:r>
      <w:r w:rsidR="00CD5700" w:rsidRPr="00FB05FC">
        <w:rPr>
          <w:color w:val="FF0000"/>
          <w:szCs w:val="20"/>
        </w:rPr>
        <w:t xml:space="preserve"> </w:t>
      </w:r>
      <w:r w:rsidR="0003625A" w:rsidRPr="0003625A">
        <w:rPr>
          <w:szCs w:val="20"/>
        </w:rPr>
        <w:t xml:space="preserve">và </w:t>
      </w:r>
      <w:r w:rsidR="0003625A">
        <w:rPr>
          <w:szCs w:val="20"/>
        </w:rPr>
        <w:t xml:space="preserve">theo dõi </w:t>
      </w:r>
      <w:r w:rsidR="0003625A" w:rsidRPr="0003625A">
        <w:rPr>
          <w:szCs w:val="20"/>
        </w:rPr>
        <w:t>các yếu tố pH, brix, đường</w:t>
      </w:r>
      <w:r w:rsidR="00831B11">
        <w:rPr>
          <w:szCs w:val="20"/>
        </w:rPr>
        <w:t xml:space="preserve"> sót</w:t>
      </w:r>
      <w:r w:rsidR="0003625A" w:rsidRPr="0003625A">
        <w:rPr>
          <w:szCs w:val="20"/>
        </w:rPr>
        <w:t>, acid tổng,</w:t>
      </w:r>
      <w:r w:rsidR="00E44E17">
        <w:rPr>
          <w:szCs w:val="20"/>
        </w:rPr>
        <w:t xml:space="preserve"> </w:t>
      </w:r>
      <w:r w:rsidR="0003625A" w:rsidRPr="0003625A">
        <w:rPr>
          <w:szCs w:val="20"/>
        </w:rPr>
        <w:t xml:space="preserve">độ rượu sau các khoảng thời gian là </w:t>
      </w:r>
      <w:r w:rsidR="007F7FD1">
        <w:rPr>
          <w:szCs w:val="20"/>
        </w:rPr>
        <w:t>24 giờ, 48 giờ, 72 giờ và 96 giờ</w:t>
      </w:r>
      <w:r w:rsidR="00EE1978">
        <w:rPr>
          <w:szCs w:val="20"/>
        </w:rPr>
        <w:t xml:space="preserve"> (</w:t>
      </w:r>
      <w:r w:rsidR="00EE1978" w:rsidRPr="00FB05FC">
        <w:rPr>
          <w:color w:val="FF0000"/>
          <w:szCs w:val="20"/>
        </w:rPr>
        <w:t xml:space="preserve">vì </w:t>
      </w:r>
      <w:r w:rsidR="00432C30" w:rsidRPr="00FB05FC">
        <w:rPr>
          <w:color w:val="FF0000"/>
          <w:szCs w:val="20"/>
        </w:rPr>
        <w:t xml:space="preserve">sau 96 giờ hàm lượng đường sót bé hơn </w:t>
      </w:r>
      <w:r w:rsidR="00EE1978" w:rsidRPr="00FB05FC">
        <w:rPr>
          <w:color w:val="FF0000"/>
          <w:szCs w:val="20"/>
        </w:rPr>
        <w:t>2% thì dừng quá trình lên men</w:t>
      </w:r>
      <w:r w:rsidR="007154F8" w:rsidRPr="00FB05FC">
        <w:rPr>
          <w:color w:val="FF0000"/>
          <w:szCs w:val="20"/>
        </w:rPr>
        <w:t xml:space="preserve"> </w:t>
      </w:r>
      <w:r w:rsidR="00EE1978" w:rsidRPr="00FB05FC">
        <w:rPr>
          <w:color w:val="FF0000"/>
          <w:szCs w:val="20"/>
        </w:rPr>
        <w:t>[</w:t>
      </w:r>
      <w:r w:rsidR="00957C4E" w:rsidRPr="00FB05FC">
        <w:rPr>
          <w:color w:val="FF0000"/>
          <w:szCs w:val="20"/>
        </w:rPr>
        <w:t>2</w:t>
      </w:r>
      <w:r w:rsidR="00EE1978" w:rsidRPr="00FB05FC">
        <w:rPr>
          <w:color w:val="FF0000"/>
          <w:szCs w:val="20"/>
        </w:rPr>
        <w:t>]</w:t>
      </w:r>
      <w:r w:rsidR="000C5725">
        <w:rPr>
          <w:szCs w:val="20"/>
        </w:rPr>
        <w:t>)</w:t>
      </w:r>
      <w:r w:rsidR="0003625A" w:rsidRPr="0003625A">
        <w:rPr>
          <w:szCs w:val="20"/>
        </w:rPr>
        <w:t>.</w:t>
      </w:r>
      <w:r w:rsidR="004F5F64">
        <w:rPr>
          <w:szCs w:val="20"/>
        </w:rPr>
        <w:t xml:space="preserve"> </w:t>
      </w:r>
      <w:r>
        <w:rPr>
          <w:color w:val="000000"/>
          <w:szCs w:val="20"/>
        </w:rPr>
        <w:t>Kết quả được thể hình ở hình 2 và hình 3.</w:t>
      </w:r>
    </w:p>
    <w:p w14:paraId="274C1108" w14:textId="77777777" w:rsidR="00135567" w:rsidRDefault="00135567" w:rsidP="00135567">
      <w:r w:rsidRPr="00275097">
        <w:rPr>
          <w:noProof/>
          <w:sz w:val="28"/>
        </w:rPr>
        <w:drawing>
          <wp:inline distT="0" distB="0" distL="0" distR="0" wp14:anchorId="20F87BF8" wp14:editId="0A896518">
            <wp:extent cx="2850777" cy="1759643"/>
            <wp:effectExtent l="0" t="0" r="6985" b="1206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C36364D" w14:textId="0F5EAD90" w:rsidR="00D24514" w:rsidRPr="002957A7" w:rsidRDefault="00D24514" w:rsidP="002957A7">
      <w:pPr>
        <w:pStyle w:val="fhhhhhh"/>
      </w:pPr>
      <w:bookmarkStart w:id="0" w:name="_Toc404280993"/>
      <w:r w:rsidRPr="002957A7">
        <w:t>Hình 2: Sự thay đổi hàm lượng chất khô (B</w:t>
      </w:r>
      <w:r w:rsidR="00F503CC" w:rsidRPr="002957A7">
        <w:t>rix), hàm lượng đường sót và độ</w:t>
      </w:r>
      <w:r w:rsidR="00CB13F1" w:rsidRPr="002957A7">
        <w:t xml:space="preserve"> cồn </w:t>
      </w:r>
      <w:r w:rsidRPr="002957A7">
        <w:t xml:space="preserve">tạo thành theo thời </w:t>
      </w:r>
      <w:commentRangeStart w:id="1"/>
      <w:r w:rsidRPr="002957A7">
        <w:t>gian</w:t>
      </w:r>
      <w:commentRangeEnd w:id="1"/>
      <w:r w:rsidR="00FB05FC" w:rsidRPr="002957A7">
        <w:rPr>
          <w:rStyle w:val="CommentReference"/>
          <w:b w:val="0"/>
          <w:i w:val="0"/>
        </w:rPr>
        <w:commentReference w:id="1"/>
      </w:r>
      <w:r w:rsidRPr="002957A7">
        <w:t>.</w:t>
      </w:r>
      <w:bookmarkEnd w:id="0"/>
    </w:p>
    <w:p w14:paraId="36CDEC02" w14:textId="77777777" w:rsidR="00D24514" w:rsidRDefault="00D24514" w:rsidP="002957A7">
      <w:pPr>
        <w:pStyle w:val="fhhhhhh"/>
      </w:pPr>
      <w:r w:rsidRPr="00275097">
        <w:rPr>
          <w:noProof/>
        </w:rPr>
        <w:lastRenderedPageBreak/>
        <w:drawing>
          <wp:inline distT="0" distB="0" distL="0" distR="0" wp14:anchorId="7DE44F7C" wp14:editId="3ACA3A2A">
            <wp:extent cx="2862469" cy="1755913"/>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4E3DFDF" w14:textId="77777777" w:rsidR="00D24514" w:rsidRDefault="00F60A7C" w:rsidP="002957A7">
      <w:pPr>
        <w:pStyle w:val="fhhhhhh"/>
      </w:pPr>
      <w:bookmarkStart w:id="2" w:name="_Toc404280994"/>
      <w:r w:rsidRPr="00F60A7C">
        <w:t>Hình 3:</w:t>
      </w:r>
      <w:r w:rsidR="00FB088F">
        <w:t xml:space="preserve"> Sự thay đổi độ pH và hàm</w:t>
      </w:r>
      <w:r w:rsidRPr="00275097">
        <w:t xml:space="preserve"> lượng acid tổng theo thời gian của quá trình thử hoạt lực lên men của chủng </w:t>
      </w:r>
      <w:r>
        <w:t xml:space="preserve">nấm men </w:t>
      </w:r>
      <w:r w:rsidRPr="00275097">
        <w:t>vừa mới phân lập</w:t>
      </w:r>
      <w:r>
        <w:t>.</w:t>
      </w:r>
      <w:bookmarkEnd w:id="2"/>
    </w:p>
    <w:p w14:paraId="05102B02" w14:textId="4A09E4E0" w:rsidR="00FB088F" w:rsidRPr="003723E7" w:rsidRDefault="00D842AF" w:rsidP="008A1DF4">
      <w:pPr>
        <w:ind w:firstLine="0"/>
        <w:rPr>
          <w:szCs w:val="20"/>
        </w:rPr>
      </w:pPr>
      <w:r>
        <w:rPr>
          <w:color w:val="000000"/>
          <w:szCs w:val="20"/>
        </w:rPr>
        <w:tab/>
      </w:r>
      <w:r w:rsidR="008A1DF4">
        <w:rPr>
          <w:color w:val="000000"/>
          <w:szCs w:val="20"/>
        </w:rPr>
        <w:t>Các kết quả phân tích cho thấy, chủng nấm men phân lập được có hoạt lực lên men khá mạnh. Hàm lượng chất khô, đường giảm liên tục trong quá trình khảo sát, trong khi hàm lượng cồn tăng liên tục và đạt</w:t>
      </w:r>
      <w:r w:rsidR="00664783">
        <w:rPr>
          <w:color w:val="000000"/>
          <w:szCs w:val="20"/>
        </w:rPr>
        <w:t xml:space="preserve"> 8,</w:t>
      </w:r>
      <w:r w:rsidR="004345BD">
        <w:rPr>
          <w:color w:val="000000"/>
          <w:szCs w:val="20"/>
        </w:rPr>
        <w:t>2</w:t>
      </w:r>
      <w:r w:rsidR="00664783">
        <w:rPr>
          <w:color w:val="000000"/>
          <w:szCs w:val="20"/>
        </w:rPr>
        <w:t>%</w:t>
      </w:r>
      <w:r w:rsidR="008A1DF4">
        <w:rPr>
          <w:color w:val="000000"/>
          <w:szCs w:val="20"/>
        </w:rPr>
        <w:t xml:space="preserve"> sau 96 </w:t>
      </w:r>
      <w:r w:rsidR="004345BD">
        <w:rPr>
          <w:color w:val="000000"/>
          <w:szCs w:val="20"/>
        </w:rPr>
        <w:t>giờ</w:t>
      </w:r>
      <w:r w:rsidR="008A1DF4">
        <w:rPr>
          <w:color w:val="000000"/>
          <w:szCs w:val="20"/>
        </w:rPr>
        <w:t xml:space="preserve"> lên men</w:t>
      </w:r>
      <w:r w:rsidR="00664783">
        <w:rPr>
          <w:color w:val="000000"/>
          <w:szCs w:val="20"/>
        </w:rPr>
        <w:t>.</w:t>
      </w:r>
      <w:r w:rsidR="00FB088F">
        <w:rPr>
          <w:color w:val="000000"/>
          <w:szCs w:val="20"/>
        </w:rPr>
        <w:t xml:space="preserve"> </w:t>
      </w:r>
      <w:r w:rsidR="00D05EA8">
        <w:rPr>
          <w:color w:val="000000"/>
          <w:szCs w:val="20"/>
        </w:rPr>
        <w:t xml:space="preserve">Bên cạnh đó, </w:t>
      </w:r>
      <w:r w:rsidR="00FB088F" w:rsidRPr="00081A0E">
        <w:rPr>
          <w:color w:val="000000"/>
          <w:szCs w:val="20"/>
        </w:rPr>
        <w:t xml:space="preserve">pH </w:t>
      </w:r>
      <w:r w:rsidR="008A1DF4">
        <w:rPr>
          <w:color w:val="000000"/>
          <w:szCs w:val="20"/>
        </w:rPr>
        <w:t>có xu hướng ổn định sau 24</w:t>
      </w:r>
      <w:r w:rsidR="004345BD">
        <w:rPr>
          <w:color w:val="000000"/>
          <w:szCs w:val="20"/>
        </w:rPr>
        <w:t xml:space="preserve"> giờ</w:t>
      </w:r>
      <w:r w:rsidR="008A1DF4">
        <w:rPr>
          <w:color w:val="000000"/>
          <w:szCs w:val="20"/>
        </w:rPr>
        <w:t xml:space="preserve"> lên men ở giá trị</w:t>
      </w:r>
      <w:r w:rsidR="00FB088F">
        <w:rPr>
          <w:color w:val="000000"/>
          <w:szCs w:val="20"/>
        </w:rPr>
        <w:t xml:space="preserve"> 3,76</w:t>
      </w:r>
      <w:r w:rsidR="008A1DF4">
        <w:rPr>
          <w:color w:val="000000"/>
          <w:szCs w:val="20"/>
        </w:rPr>
        <w:t>, thấp hơn</w:t>
      </w:r>
      <w:r w:rsidR="00D05EA8">
        <w:rPr>
          <w:color w:val="000000"/>
          <w:szCs w:val="20"/>
        </w:rPr>
        <w:t xml:space="preserve"> </w:t>
      </w:r>
      <w:r w:rsidR="00FB088F" w:rsidRPr="00081A0E">
        <w:rPr>
          <w:color w:val="000000"/>
          <w:szCs w:val="20"/>
        </w:rPr>
        <w:t xml:space="preserve">4 nên </w:t>
      </w:r>
      <w:r w:rsidR="008A1DF4">
        <w:rPr>
          <w:color w:val="000000"/>
          <w:szCs w:val="20"/>
        </w:rPr>
        <w:t xml:space="preserve">đây là </w:t>
      </w:r>
      <w:r w:rsidR="00FB088F" w:rsidRPr="00081A0E">
        <w:rPr>
          <w:color w:val="000000"/>
          <w:szCs w:val="20"/>
        </w:rPr>
        <w:t xml:space="preserve">pH </w:t>
      </w:r>
      <w:r w:rsidR="008A1DF4">
        <w:rPr>
          <w:color w:val="000000"/>
          <w:szCs w:val="20"/>
        </w:rPr>
        <w:t>thuận lợi để</w:t>
      </w:r>
      <w:r w:rsidR="00FB088F" w:rsidRPr="00081A0E">
        <w:rPr>
          <w:color w:val="000000"/>
          <w:szCs w:val="20"/>
        </w:rPr>
        <w:t xml:space="preserve"> hạn chế sự nhiễm vi vật gây ảnh hưởng xấu đến chất lượng của</w:t>
      </w:r>
      <w:r w:rsidR="00D05EA8">
        <w:rPr>
          <w:color w:val="000000"/>
          <w:szCs w:val="20"/>
        </w:rPr>
        <w:t xml:space="preserve"> rượu</w:t>
      </w:r>
      <w:r w:rsidR="00FB088F" w:rsidRPr="003723E7">
        <w:rPr>
          <w:szCs w:val="20"/>
        </w:rPr>
        <w:t xml:space="preserve"> [</w:t>
      </w:r>
      <w:r w:rsidR="00FF61B4" w:rsidRPr="003723E7">
        <w:rPr>
          <w:szCs w:val="20"/>
        </w:rPr>
        <w:t>8</w:t>
      </w:r>
      <w:r w:rsidR="00366E3A" w:rsidRPr="003723E7">
        <w:rPr>
          <w:szCs w:val="20"/>
        </w:rPr>
        <w:t>].</w:t>
      </w:r>
      <w:r w:rsidR="008A1DF4">
        <w:rPr>
          <w:szCs w:val="20"/>
        </w:rPr>
        <w:t xml:space="preserve"> Sự thay đổi </w:t>
      </w:r>
      <w:r w:rsidR="0027352B">
        <w:rPr>
          <w:szCs w:val="20"/>
        </w:rPr>
        <w:t xml:space="preserve">acid </w:t>
      </w:r>
      <w:r w:rsidR="008A1DF4">
        <w:rPr>
          <w:szCs w:val="20"/>
        </w:rPr>
        <w:t>tổng số có diễn biến tương tự như sự thay đổi của pH. Do đó, chủng nấm men chúng tôi phân lập được hoàn toàn thích hợp</w:t>
      </w:r>
      <w:r w:rsidR="00595C91">
        <w:rPr>
          <w:szCs w:val="20"/>
        </w:rPr>
        <w:t xml:space="preserve"> để sử dụng sản xuất rượu vang đ</w:t>
      </w:r>
      <w:r w:rsidR="008A1DF4">
        <w:rPr>
          <w:szCs w:val="20"/>
        </w:rPr>
        <w:t>oác.</w:t>
      </w:r>
    </w:p>
    <w:p w14:paraId="584E99A8" w14:textId="77777777" w:rsidR="00617E71" w:rsidRPr="003723E7" w:rsidRDefault="00010B1E" w:rsidP="00AF164A">
      <w:pPr>
        <w:pStyle w:val="Heading2"/>
        <w:numPr>
          <w:ilvl w:val="0"/>
          <w:numId w:val="0"/>
        </w:numPr>
      </w:pPr>
      <w:r>
        <w:t xml:space="preserve">3.3. </w:t>
      </w:r>
      <w:r w:rsidR="00847DA3">
        <w:t>Đánh giá ảnh hưởng của</w:t>
      </w:r>
      <w:r w:rsidR="00F60A7C" w:rsidRPr="003723E7">
        <w:t xml:space="preserve"> pH </w:t>
      </w:r>
      <w:r w:rsidR="00847DA3">
        <w:t>đến</w:t>
      </w:r>
      <w:r w:rsidR="00F60A7C" w:rsidRPr="003723E7">
        <w:t xml:space="preserve"> quá</w:t>
      </w:r>
      <w:r w:rsidR="000D0C2A" w:rsidRPr="003723E7">
        <w:t xml:space="preserve"> trình lên men rượu vang </w:t>
      </w:r>
      <w:r w:rsidR="00847DA3">
        <w:t>Đ</w:t>
      </w:r>
      <w:r w:rsidR="000D0C2A" w:rsidRPr="003723E7">
        <w:t>oác</w:t>
      </w:r>
      <w:r w:rsidR="00847DA3">
        <w:t xml:space="preserve"> bằng chủng nấm men phân lập</w:t>
      </w:r>
    </w:p>
    <w:p w14:paraId="6F05B5AF" w14:textId="77777777" w:rsidR="000F7B77" w:rsidRPr="00847DA3" w:rsidRDefault="000F7B77" w:rsidP="000F7B77">
      <w:pPr>
        <w:rPr>
          <w:color w:val="FF0000"/>
        </w:rPr>
      </w:pPr>
      <w:r w:rsidRPr="0064357B">
        <w:rPr>
          <w:szCs w:val="20"/>
        </w:rPr>
        <w:t>Nồng độ ion H</w:t>
      </w:r>
      <w:r w:rsidRPr="0064357B">
        <w:rPr>
          <w:szCs w:val="20"/>
          <w:vertAlign w:val="superscript"/>
        </w:rPr>
        <w:t>+</w:t>
      </w:r>
      <w:r w:rsidRPr="0064357B">
        <w:rPr>
          <w:szCs w:val="20"/>
        </w:rPr>
        <w:t xml:space="preserve"> trong canh trường có ảnh hưởng lớn đến hoạt động của nấm men. Chúng có khả năng làm thay đổi điện tích các chất của vỏ tế bào, làm tăng hay giảm mức độ thẩm thấu các chất dinh dưỡng cũng như chiều hướng của quá trình lên men. Do vậy, nó có ảnh hưởng không nhỏ tới sự sinh trưởng và sinh tổng hợp của nấm men và mỗi vi sinh vật hoạt động tốt ở một pH nhất định</w:t>
      </w:r>
      <w:r w:rsidRPr="00FB05FC">
        <w:rPr>
          <w:color w:val="FF0000"/>
          <w:szCs w:val="20"/>
        </w:rPr>
        <w:t>. Do đó, với mục đích đánh giá ảnh hưởng của pH đến quá trình lên men thì phải nắm được đường cong sinh trưởng của nấm men, từ đó mới biết được hiệu suất cồn tạo thành qua từng giai đoạn của đường cong sinh trưởng. Ngoài ra, trong điều kiện lên men rượu vang, pH tối ưu của rượu vang là 4-6. Để chọn pH tối ưu cho chủng nấm men vừa mới phân lập từ dịch nhựa cây đoác, nên chúng tôi tiến hành lên men rượu vang ở dãy pH: 4; 4,5; 5; 5,5; 6 và pH của dịch cây đoác bằng 7,93 đo từ mẫu khảo sát qua các mốc thời gian 24 giờ, 48 giờ, 72 giờ và 96 giờ</w:t>
      </w:r>
      <w:r>
        <w:rPr>
          <w:szCs w:val="20"/>
        </w:rPr>
        <w:t xml:space="preserve">. Kết quả được thể hiện ở bảng 1, 2 và hình 4, 5, 6. </w:t>
      </w:r>
      <w:r w:rsidRPr="00847DA3">
        <w:t>Trong quá trình khảo sát chúng tôi điều chỉnh pH bằng đệm natri acetate [6][1</w:t>
      </w:r>
      <w:r>
        <w:t>3</w:t>
      </w:r>
      <w:r w:rsidRPr="00847DA3">
        <w:t>].</w:t>
      </w:r>
    </w:p>
    <w:p w14:paraId="228A54CC" w14:textId="77777777" w:rsidR="00175BC1" w:rsidRDefault="00642684" w:rsidP="002957A7">
      <w:pPr>
        <w:pStyle w:val="fhhhhhh"/>
      </w:pPr>
      <w:r w:rsidRPr="00642684">
        <w:lastRenderedPageBreak/>
        <w:tab/>
      </w:r>
      <w:bookmarkStart w:id="3" w:name="_Toc404280995"/>
      <w:r w:rsidR="00175BC1">
        <w:rPr>
          <w:noProof/>
        </w:rPr>
        <w:drawing>
          <wp:inline distT="0" distB="0" distL="0" distR="0" wp14:anchorId="7B26294F" wp14:editId="020BA38E">
            <wp:extent cx="2786332" cy="1682151"/>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FE3C89D" w14:textId="77777777" w:rsidR="00B31425" w:rsidRDefault="00642684" w:rsidP="002957A7">
      <w:pPr>
        <w:pStyle w:val="fhhhhhh"/>
      </w:pPr>
      <w:r w:rsidRPr="008C7E2A">
        <w:t>Hình 4:</w:t>
      </w:r>
      <w:r w:rsidRPr="003723E7">
        <w:t xml:space="preserve"> Sự thay đổi </w:t>
      </w:r>
      <w:r w:rsidR="00847DA3">
        <w:t xml:space="preserve">của </w:t>
      </w:r>
      <w:r w:rsidRPr="003723E7">
        <w:t xml:space="preserve">độ Brix theo thời gian lên men </w:t>
      </w:r>
      <w:r w:rsidR="00847DA3">
        <w:t>ở</w:t>
      </w:r>
      <w:r w:rsidRPr="003723E7">
        <w:t xml:space="preserve"> các pH khác nhau.</w:t>
      </w:r>
      <w:bookmarkEnd w:id="3"/>
    </w:p>
    <w:p w14:paraId="5093F2D8" w14:textId="77777777" w:rsidR="00847DA3" w:rsidRPr="00847DA3" w:rsidRDefault="00847DA3" w:rsidP="00847DA3">
      <w:pPr>
        <w:spacing w:line="360" w:lineRule="auto"/>
        <w:rPr>
          <w:b/>
          <w:i/>
          <w:sz w:val="18"/>
          <w:szCs w:val="18"/>
        </w:rPr>
      </w:pPr>
      <w:r w:rsidRPr="00642684">
        <w:rPr>
          <w:b/>
          <w:i/>
          <w:sz w:val="18"/>
          <w:szCs w:val="18"/>
        </w:rPr>
        <w:t>Bảng</w:t>
      </w:r>
      <w:r>
        <w:rPr>
          <w:b/>
          <w:i/>
          <w:sz w:val="18"/>
          <w:szCs w:val="18"/>
        </w:rPr>
        <w:t xml:space="preserve"> </w:t>
      </w:r>
      <w:r w:rsidRPr="00642684">
        <w:rPr>
          <w:b/>
          <w:i/>
          <w:sz w:val="18"/>
          <w:szCs w:val="18"/>
        </w:rPr>
        <w:t>1:</w:t>
      </w:r>
      <w:r>
        <w:rPr>
          <w:b/>
          <w:i/>
          <w:sz w:val="18"/>
          <w:szCs w:val="18"/>
        </w:rPr>
        <w:t xml:space="preserve"> </w:t>
      </w:r>
      <w:r w:rsidRPr="00642684">
        <w:rPr>
          <w:i/>
          <w:sz w:val="18"/>
          <w:szCs w:val="18"/>
        </w:rPr>
        <w:t xml:space="preserve">Sự thay đổi hàm lượng đường sót theo thời gian lên men của các dịch lên ở các pH khác </w:t>
      </w:r>
      <w:commentRangeStart w:id="4"/>
      <w:r w:rsidRPr="00642684">
        <w:rPr>
          <w:i/>
          <w:sz w:val="18"/>
          <w:szCs w:val="18"/>
        </w:rPr>
        <w:t>nhau</w:t>
      </w:r>
      <w:commentRangeEnd w:id="4"/>
      <w:r w:rsidR="00FB05FC">
        <w:rPr>
          <w:rStyle w:val="CommentReference"/>
        </w:rPr>
        <w:commentReference w:id="4"/>
      </w:r>
    </w:p>
    <w:tbl>
      <w:tblPr>
        <w:tblStyle w:val="TableGrid"/>
        <w:tblW w:w="4559" w:type="dxa"/>
        <w:jc w:val="center"/>
        <w:tblLayout w:type="fixed"/>
        <w:tblLook w:val="04A0" w:firstRow="1" w:lastRow="0" w:firstColumn="1" w:lastColumn="0" w:noHBand="0" w:noVBand="1"/>
      </w:tblPr>
      <w:tblGrid>
        <w:gridCol w:w="673"/>
        <w:gridCol w:w="772"/>
        <w:gridCol w:w="771"/>
        <w:gridCol w:w="772"/>
        <w:gridCol w:w="771"/>
        <w:gridCol w:w="800"/>
      </w:tblGrid>
      <w:tr w:rsidR="002C25C7" w:rsidRPr="002C25C7" w14:paraId="16FC4C5D" w14:textId="77777777" w:rsidTr="00E24A95">
        <w:trPr>
          <w:trHeight w:val="286"/>
          <w:jc w:val="center"/>
        </w:trPr>
        <w:tc>
          <w:tcPr>
            <w:tcW w:w="673" w:type="dxa"/>
            <w:vMerge w:val="restart"/>
            <w:shd w:val="clear" w:color="auto" w:fill="00FF99"/>
            <w:vAlign w:val="center"/>
          </w:tcPr>
          <w:p w14:paraId="56D83111" w14:textId="77777777" w:rsidR="00D52BF7" w:rsidRPr="002C25C7" w:rsidRDefault="00D52BF7" w:rsidP="008257A6">
            <w:pPr>
              <w:spacing w:line="360" w:lineRule="auto"/>
              <w:ind w:firstLine="0"/>
              <w:jc w:val="center"/>
              <w:rPr>
                <w:b/>
                <w:sz w:val="16"/>
                <w:szCs w:val="16"/>
              </w:rPr>
            </w:pPr>
            <w:r w:rsidRPr="002C25C7">
              <w:rPr>
                <w:b/>
                <w:sz w:val="16"/>
                <w:szCs w:val="16"/>
              </w:rPr>
              <w:t>Đường sót (%)</w:t>
            </w:r>
          </w:p>
        </w:tc>
        <w:tc>
          <w:tcPr>
            <w:tcW w:w="3884" w:type="dxa"/>
            <w:gridSpan w:val="5"/>
            <w:shd w:val="clear" w:color="auto" w:fill="00FF99"/>
            <w:vAlign w:val="center"/>
          </w:tcPr>
          <w:p w14:paraId="3EDF48E5" w14:textId="77777777" w:rsidR="00D52BF7" w:rsidRPr="00E87489" w:rsidRDefault="00D52BF7" w:rsidP="00E87489">
            <w:pPr>
              <w:spacing w:line="360" w:lineRule="auto"/>
              <w:jc w:val="center"/>
              <w:rPr>
                <w:b/>
                <w:sz w:val="18"/>
                <w:szCs w:val="18"/>
              </w:rPr>
            </w:pPr>
            <w:r w:rsidRPr="00E87489">
              <w:rPr>
                <w:b/>
                <w:sz w:val="18"/>
                <w:szCs w:val="18"/>
              </w:rPr>
              <w:t>THỜI GIAN ( GIỜ)</w:t>
            </w:r>
          </w:p>
        </w:tc>
      </w:tr>
      <w:tr w:rsidR="002C25C7" w:rsidRPr="002C25C7" w14:paraId="511BA71C" w14:textId="77777777" w:rsidTr="00E24A95">
        <w:trPr>
          <w:trHeight w:val="241"/>
          <w:jc w:val="center"/>
        </w:trPr>
        <w:tc>
          <w:tcPr>
            <w:tcW w:w="673" w:type="dxa"/>
            <w:vMerge/>
            <w:tcBorders>
              <w:bottom w:val="single" w:sz="4" w:space="0" w:color="auto"/>
            </w:tcBorders>
            <w:shd w:val="clear" w:color="auto" w:fill="00FF99"/>
          </w:tcPr>
          <w:p w14:paraId="680A5716" w14:textId="77777777" w:rsidR="00D52BF7" w:rsidRPr="002C25C7" w:rsidRDefault="00D52BF7" w:rsidP="008257A6">
            <w:pPr>
              <w:spacing w:line="360" w:lineRule="auto"/>
              <w:jc w:val="center"/>
              <w:rPr>
                <w:sz w:val="8"/>
                <w:szCs w:val="8"/>
              </w:rPr>
            </w:pPr>
          </w:p>
        </w:tc>
        <w:tc>
          <w:tcPr>
            <w:tcW w:w="772" w:type="dxa"/>
            <w:tcBorders>
              <w:bottom w:val="single" w:sz="4" w:space="0" w:color="auto"/>
            </w:tcBorders>
            <w:shd w:val="clear" w:color="auto" w:fill="00FF99"/>
            <w:vAlign w:val="center"/>
          </w:tcPr>
          <w:p w14:paraId="6FBBD5E2" w14:textId="77777777" w:rsidR="00D52BF7" w:rsidRPr="00E87489" w:rsidRDefault="00D52BF7" w:rsidP="00FB05FC">
            <w:pPr>
              <w:spacing w:line="360" w:lineRule="auto"/>
              <w:rPr>
                <w:b/>
                <w:sz w:val="18"/>
                <w:szCs w:val="18"/>
              </w:rPr>
            </w:pPr>
            <w:r w:rsidRPr="00E87489">
              <w:rPr>
                <w:b/>
                <w:sz w:val="18"/>
                <w:szCs w:val="18"/>
              </w:rPr>
              <w:t>0</w:t>
            </w:r>
          </w:p>
        </w:tc>
        <w:tc>
          <w:tcPr>
            <w:tcW w:w="771" w:type="dxa"/>
            <w:tcBorders>
              <w:bottom w:val="single" w:sz="4" w:space="0" w:color="auto"/>
            </w:tcBorders>
            <w:shd w:val="clear" w:color="auto" w:fill="00FF99"/>
            <w:vAlign w:val="center"/>
          </w:tcPr>
          <w:p w14:paraId="140938B7" w14:textId="77777777" w:rsidR="00D52BF7" w:rsidRPr="00E87489" w:rsidRDefault="00D52BF7" w:rsidP="00FB05FC">
            <w:pPr>
              <w:spacing w:line="360" w:lineRule="auto"/>
              <w:rPr>
                <w:b/>
                <w:sz w:val="18"/>
                <w:szCs w:val="18"/>
              </w:rPr>
            </w:pPr>
            <w:r w:rsidRPr="00E87489">
              <w:rPr>
                <w:b/>
                <w:sz w:val="18"/>
                <w:szCs w:val="18"/>
              </w:rPr>
              <w:t>24</w:t>
            </w:r>
          </w:p>
        </w:tc>
        <w:tc>
          <w:tcPr>
            <w:tcW w:w="772" w:type="dxa"/>
            <w:tcBorders>
              <w:bottom w:val="single" w:sz="4" w:space="0" w:color="auto"/>
            </w:tcBorders>
            <w:shd w:val="clear" w:color="auto" w:fill="00FF99"/>
            <w:vAlign w:val="center"/>
          </w:tcPr>
          <w:p w14:paraId="40D17077" w14:textId="77777777" w:rsidR="00D52BF7" w:rsidRPr="00E87489" w:rsidRDefault="00D52BF7" w:rsidP="00FB05FC">
            <w:pPr>
              <w:spacing w:line="360" w:lineRule="auto"/>
              <w:rPr>
                <w:b/>
                <w:sz w:val="18"/>
                <w:szCs w:val="18"/>
              </w:rPr>
            </w:pPr>
            <w:r w:rsidRPr="00E87489">
              <w:rPr>
                <w:b/>
                <w:sz w:val="18"/>
                <w:szCs w:val="18"/>
              </w:rPr>
              <w:t>48</w:t>
            </w:r>
          </w:p>
        </w:tc>
        <w:tc>
          <w:tcPr>
            <w:tcW w:w="771" w:type="dxa"/>
            <w:tcBorders>
              <w:bottom w:val="single" w:sz="4" w:space="0" w:color="auto"/>
            </w:tcBorders>
            <w:shd w:val="clear" w:color="auto" w:fill="00FF99"/>
            <w:vAlign w:val="center"/>
          </w:tcPr>
          <w:p w14:paraId="3DD4509C" w14:textId="77777777" w:rsidR="00D52BF7" w:rsidRPr="00E87489" w:rsidRDefault="00D52BF7" w:rsidP="00FB05FC">
            <w:pPr>
              <w:spacing w:line="360" w:lineRule="auto"/>
              <w:rPr>
                <w:b/>
                <w:sz w:val="18"/>
                <w:szCs w:val="18"/>
              </w:rPr>
            </w:pPr>
            <w:r w:rsidRPr="00E87489">
              <w:rPr>
                <w:b/>
                <w:sz w:val="18"/>
                <w:szCs w:val="18"/>
              </w:rPr>
              <w:t>72</w:t>
            </w:r>
          </w:p>
        </w:tc>
        <w:tc>
          <w:tcPr>
            <w:tcW w:w="800" w:type="dxa"/>
            <w:tcBorders>
              <w:bottom w:val="single" w:sz="4" w:space="0" w:color="auto"/>
            </w:tcBorders>
            <w:shd w:val="clear" w:color="auto" w:fill="00FF99"/>
            <w:vAlign w:val="center"/>
          </w:tcPr>
          <w:p w14:paraId="1525402C" w14:textId="77777777" w:rsidR="00D52BF7" w:rsidRPr="00E87489" w:rsidRDefault="00D52BF7" w:rsidP="00FB05FC">
            <w:pPr>
              <w:spacing w:line="360" w:lineRule="auto"/>
              <w:rPr>
                <w:b/>
                <w:sz w:val="18"/>
                <w:szCs w:val="18"/>
              </w:rPr>
            </w:pPr>
            <w:r w:rsidRPr="00E87489">
              <w:rPr>
                <w:b/>
                <w:sz w:val="18"/>
                <w:szCs w:val="18"/>
              </w:rPr>
              <w:t>96</w:t>
            </w:r>
          </w:p>
        </w:tc>
      </w:tr>
      <w:tr w:rsidR="002C25C7" w:rsidRPr="002C25C7" w14:paraId="53D448B6" w14:textId="77777777" w:rsidTr="00E24A95">
        <w:trPr>
          <w:trHeight w:val="192"/>
          <w:jc w:val="center"/>
        </w:trPr>
        <w:tc>
          <w:tcPr>
            <w:tcW w:w="673" w:type="dxa"/>
            <w:shd w:val="clear" w:color="auto" w:fill="00FF99"/>
          </w:tcPr>
          <w:p w14:paraId="2CE6AFD2" w14:textId="77777777" w:rsidR="00D52BF7" w:rsidRPr="002C25C7" w:rsidRDefault="00F51A88" w:rsidP="008257A6">
            <w:pPr>
              <w:spacing w:line="360" w:lineRule="auto"/>
              <w:ind w:firstLine="0"/>
              <w:jc w:val="center"/>
              <w:rPr>
                <w:b/>
                <w:sz w:val="12"/>
                <w:szCs w:val="12"/>
              </w:rPr>
            </w:pPr>
            <w:r>
              <w:rPr>
                <w:b/>
                <w:sz w:val="12"/>
                <w:szCs w:val="12"/>
              </w:rPr>
              <w:t xml:space="preserve">pH </w:t>
            </w:r>
            <w:r w:rsidR="00D52BF7" w:rsidRPr="002C25C7">
              <w:rPr>
                <w:b/>
                <w:sz w:val="12"/>
                <w:szCs w:val="12"/>
              </w:rPr>
              <w:t>4</w:t>
            </w:r>
          </w:p>
        </w:tc>
        <w:tc>
          <w:tcPr>
            <w:tcW w:w="772" w:type="dxa"/>
          </w:tcPr>
          <w:p w14:paraId="28F3CC2E" w14:textId="77777777" w:rsidR="00D52BF7" w:rsidRPr="002C25C7" w:rsidRDefault="003A4C0C" w:rsidP="00AC3749">
            <w:pPr>
              <w:spacing w:line="360" w:lineRule="auto"/>
              <w:rPr>
                <w:sz w:val="12"/>
                <w:szCs w:val="12"/>
              </w:rPr>
            </w:pPr>
            <m:oMathPara>
              <m:oMath>
                <m:sSup>
                  <m:sSupPr>
                    <m:ctrlPr>
                      <w:rPr>
                        <w:rFonts w:ascii="Cambria Math" w:hAnsi="Cambria Math"/>
                        <w:i/>
                        <w:sz w:val="12"/>
                        <w:szCs w:val="12"/>
                      </w:rPr>
                    </m:ctrlPr>
                  </m:sSupPr>
                  <m:e>
                    <m:r>
                      <w:rPr>
                        <w:rFonts w:ascii="Cambria Math" w:hAnsi="Cambria Math"/>
                        <w:sz w:val="12"/>
                        <w:szCs w:val="12"/>
                      </w:rPr>
                      <m:t>16,71±0.01</m:t>
                    </m:r>
                  </m:e>
                  <m:sup>
                    <m:r>
                      <w:rPr>
                        <w:rFonts w:ascii="Cambria Math" w:hAnsi="Cambria Math"/>
                        <w:sz w:val="12"/>
                        <w:szCs w:val="12"/>
                      </w:rPr>
                      <m:t>a</m:t>
                    </m:r>
                  </m:sup>
                </m:sSup>
              </m:oMath>
            </m:oMathPara>
          </w:p>
        </w:tc>
        <w:tc>
          <w:tcPr>
            <w:tcW w:w="771" w:type="dxa"/>
          </w:tcPr>
          <w:p w14:paraId="2BECBFBA" w14:textId="77777777" w:rsidR="00D52BF7" w:rsidRPr="002C25C7" w:rsidRDefault="003A4C0C" w:rsidP="00AC3749">
            <w:pPr>
              <w:spacing w:line="360" w:lineRule="auto"/>
              <w:rPr>
                <w:sz w:val="12"/>
                <w:szCs w:val="12"/>
              </w:rPr>
            </w:pPr>
            <m:oMathPara>
              <m:oMath>
                <m:sSup>
                  <m:sSupPr>
                    <m:ctrlPr>
                      <w:rPr>
                        <w:rFonts w:ascii="Cambria Math" w:hAnsi="Cambria Math"/>
                        <w:i/>
                        <w:sz w:val="12"/>
                        <w:szCs w:val="12"/>
                      </w:rPr>
                    </m:ctrlPr>
                  </m:sSupPr>
                  <m:e>
                    <m:r>
                      <w:rPr>
                        <w:rFonts w:ascii="Cambria Math" w:hAnsi="Cambria Math"/>
                        <w:sz w:val="12"/>
                        <w:szCs w:val="12"/>
                      </w:rPr>
                      <m:t>15,39±0,01</m:t>
                    </m:r>
                  </m:e>
                  <m:sup>
                    <m:r>
                      <w:rPr>
                        <w:rFonts w:ascii="Cambria Math" w:hAnsi="Cambria Math"/>
                        <w:sz w:val="12"/>
                        <w:szCs w:val="12"/>
                      </w:rPr>
                      <m:t>a</m:t>
                    </m:r>
                  </m:sup>
                </m:sSup>
              </m:oMath>
            </m:oMathPara>
          </w:p>
        </w:tc>
        <w:tc>
          <w:tcPr>
            <w:tcW w:w="772" w:type="dxa"/>
          </w:tcPr>
          <w:p w14:paraId="34841332" w14:textId="77777777" w:rsidR="00D52BF7" w:rsidRPr="002C25C7" w:rsidRDefault="003A4C0C" w:rsidP="00AC3749">
            <w:pPr>
              <w:spacing w:line="360" w:lineRule="auto"/>
              <w:rPr>
                <w:sz w:val="12"/>
                <w:szCs w:val="12"/>
              </w:rPr>
            </w:pPr>
            <m:oMathPara>
              <m:oMath>
                <m:sSup>
                  <m:sSupPr>
                    <m:ctrlPr>
                      <w:rPr>
                        <w:rFonts w:ascii="Cambria Math" w:hAnsi="Cambria Math"/>
                        <w:i/>
                        <w:sz w:val="12"/>
                        <w:szCs w:val="12"/>
                      </w:rPr>
                    </m:ctrlPr>
                  </m:sSupPr>
                  <m:e>
                    <m:r>
                      <w:rPr>
                        <w:rFonts w:ascii="Cambria Math" w:hAnsi="Cambria Math"/>
                        <w:sz w:val="12"/>
                        <w:szCs w:val="12"/>
                      </w:rPr>
                      <m:t>13,89±0,01</m:t>
                    </m:r>
                  </m:e>
                  <m:sup>
                    <m:r>
                      <w:rPr>
                        <w:rFonts w:ascii="Cambria Math" w:hAnsi="Cambria Math"/>
                        <w:sz w:val="12"/>
                        <w:szCs w:val="12"/>
                      </w:rPr>
                      <m:t>b</m:t>
                    </m:r>
                  </m:sup>
                </m:sSup>
              </m:oMath>
            </m:oMathPara>
          </w:p>
        </w:tc>
        <w:tc>
          <w:tcPr>
            <w:tcW w:w="771" w:type="dxa"/>
          </w:tcPr>
          <w:p w14:paraId="49E129B9" w14:textId="77777777" w:rsidR="00D52BF7" w:rsidRPr="002C25C7" w:rsidRDefault="003A4C0C" w:rsidP="00AC3749">
            <w:pPr>
              <w:spacing w:line="360" w:lineRule="auto"/>
              <w:rPr>
                <w:sz w:val="12"/>
                <w:szCs w:val="12"/>
              </w:rPr>
            </w:pPr>
            <m:oMathPara>
              <m:oMath>
                <m:sSup>
                  <m:sSupPr>
                    <m:ctrlPr>
                      <w:rPr>
                        <w:rFonts w:ascii="Cambria Math" w:hAnsi="Cambria Math"/>
                        <w:i/>
                        <w:sz w:val="12"/>
                        <w:szCs w:val="12"/>
                      </w:rPr>
                    </m:ctrlPr>
                  </m:sSupPr>
                  <m:e>
                    <m:r>
                      <w:rPr>
                        <w:rFonts w:ascii="Cambria Math" w:hAnsi="Cambria Math"/>
                        <w:sz w:val="12"/>
                        <w:szCs w:val="12"/>
                      </w:rPr>
                      <m:t>10,95±0,01</m:t>
                    </m:r>
                  </m:e>
                  <m:sup>
                    <m:r>
                      <w:rPr>
                        <w:rFonts w:ascii="Cambria Math" w:hAnsi="Cambria Math"/>
                        <w:sz w:val="12"/>
                        <w:szCs w:val="12"/>
                      </w:rPr>
                      <m:t>b</m:t>
                    </m:r>
                  </m:sup>
                </m:sSup>
              </m:oMath>
            </m:oMathPara>
          </w:p>
        </w:tc>
        <w:tc>
          <w:tcPr>
            <w:tcW w:w="800" w:type="dxa"/>
          </w:tcPr>
          <w:p w14:paraId="5E0A7FC3" w14:textId="77777777" w:rsidR="00D52BF7" w:rsidRPr="002C25C7" w:rsidRDefault="003A4C0C" w:rsidP="00AC3749">
            <w:pPr>
              <w:spacing w:line="360" w:lineRule="auto"/>
              <w:rPr>
                <w:sz w:val="12"/>
                <w:szCs w:val="12"/>
              </w:rPr>
            </w:pPr>
            <m:oMathPara>
              <m:oMath>
                <m:sSup>
                  <m:sSupPr>
                    <m:ctrlPr>
                      <w:rPr>
                        <w:rFonts w:ascii="Cambria Math" w:hAnsi="Cambria Math"/>
                        <w:i/>
                        <w:sz w:val="12"/>
                        <w:szCs w:val="12"/>
                      </w:rPr>
                    </m:ctrlPr>
                  </m:sSupPr>
                  <m:e>
                    <m:r>
                      <w:rPr>
                        <w:rFonts w:ascii="Cambria Math" w:hAnsi="Cambria Math"/>
                        <w:sz w:val="12"/>
                        <w:szCs w:val="12"/>
                      </w:rPr>
                      <m:t>8,23±0,01</m:t>
                    </m:r>
                  </m:e>
                  <m:sup>
                    <m:r>
                      <w:rPr>
                        <w:rFonts w:ascii="Cambria Math" w:hAnsi="Cambria Math"/>
                        <w:sz w:val="12"/>
                        <w:szCs w:val="12"/>
                      </w:rPr>
                      <m:t>b</m:t>
                    </m:r>
                  </m:sup>
                </m:sSup>
              </m:oMath>
            </m:oMathPara>
          </w:p>
        </w:tc>
      </w:tr>
      <w:tr w:rsidR="002C25C7" w:rsidRPr="002C25C7" w14:paraId="53BD430A" w14:textId="77777777" w:rsidTr="00E24A95">
        <w:trPr>
          <w:trHeight w:val="150"/>
          <w:jc w:val="center"/>
        </w:trPr>
        <w:tc>
          <w:tcPr>
            <w:tcW w:w="673" w:type="dxa"/>
            <w:shd w:val="clear" w:color="auto" w:fill="00FF99"/>
          </w:tcPr>
          <w:p w14:paraId="11F6450A" w14:textId="77777777" w:rsidR="00D52BF7" w:rsidRPr="002C25C7" w:rsidRDefault="00F51A88" w:rsidP="008257A6">
            <w:pPr>
              <w:spacing w:line="360" w:lineRule="auto"/>
              <w:ind w:firstLine="0"/>
              <w:jc w:val="center"/>
              <w:rPr>
                <w:b/>
                <w:sz w:val="12"/>
                <w:szCs w:val="12"/>
              </w:rPr>
            </w:pPr>
            <w:r>
              <w:rPr>
                <w:b/>
                <w:sz w:val="12"/>
                <w:szCs w:val="12"/>
              </w:rPr>
              <w:t xml:space="preserve">pH </w:t>
            </w:r>
            <w:r w:rsidR="00D52BF7" w:rsidRPr="002C25C7">
              <w:rPr>
                <w:b/>
                <w:sz w:val="12"/>
                <w:szCs w:val="12"/>
              </w:rPr>
              <w:t>4,5</w:t>
            </w:r>
          </w:p>
        </w:tc>
        <w:tc>
          <w:tcPr>
            <w:tcW w:w="772" w:type="dxa"/>
          </w:tcPr>
          <w:p w14:paraId="2FC338B9" w14:textId="77777777" w:rsidR="00D52BF7" w:rsidRPr="002C25C7" w:rsidRDefault="003A4C0C" w:rsidP="00AC3749">
            <w:pPr>
              <w:tabs>
                <w:tab w:val="left" w:pos="217"/>
                <w:tab w:val="center" w:pos="459"/>
              </w:tabs>
              <w:spacing w:line="360" w:lineRule="auto"/>
              <w:rPr>
                <w:color w:val="000000"/>
                <w:sz w:val="12"/>
                <w:szCs w:val="12"/>
              </w:rPr>
            </w:pPr>
            <m:oMathPara>
              <m:oMath>
                <m:sSup>
                  <m:sSupPr>
                    <m:ctrlPr>
                      <w:rPr>
                        <w:rFonts w:ascii="Cambria Math" w:hAnsi="Cambria Math"/>
                        <w:i/>
                        <w:sz w:val="12"/>
                        <w:szCs w:val="12"/>
                      </w:rPr>
                    </m:ctrlPr>
                  </m:sSupPr>
                  <m:e>
                    <m:r>
                      <w:rPr>
                        <w:rFonts w:ascii="Cambria Math" w:hAnsi="Cambria Math"/>
                        <w:sz w:val="12"/>
                        <w:szCs w:val="12"/>
                      </w:rPr>
                      <m:t>16,71±0,01</m:t>
                    </m:r>
                  </m:e>
                  <m:sup>
                    <m:r>
                      <w:rPr>
                        <w:rFonts w:ascii="Cambria Math" w:hAnsi="Cambria Math"/>
                        <w:sz w:val="12"/>
                        <w:szCs w:val="12"/>
                      </w:rPr>
                      <m:t>a</m:t>
                    </m:r>
                  </m:sup>
                </m:sSup>
              </m:oMath>
            </m:oMathPara>
          </w:p>
        </w:tc>
        <w:tc>
          <w:tcPr>
            <w:tcW w:w="771" w:type="dxa"/>
          </w:tcPr>
          <w:p w14:paraId="6F63CB80" w14:textId="77777777" w:rsidR="00D52BF7" w:rsidRPr="002C25C7" w:rsidRDefault="003A4C0C" w:rsidP="00AC3749">
            <w:pPr>
              <w:spacing w:line="360" w:lineRule="auto"/>
              <w:rPr>
                <w:color w:val="000000"/>
                <w:sz w:val="12"/>
                <w:szCs w:val="12"/>
              </w:rPr>
            </w:pPr>
            <m:oMathPara>
              <m:oMath>
                <m:sSup>
                  <m:sSupPr>
                    <m:ctrlPr>
                      <w:rPr>
                        <w:rFonts w:ascii="Cambria Math" w:hAnsi="Cambria Math"/>
                        <w:i/>
                        <w:sz w:val="12"/>
                        <w:szCs w:val="12"/>
                      </w:rPr>
                    </m:ctrlPr>
                  </m:sSupPr>
                  <m:e>
                    <m:r>
                      <w:rPr>
                        <w:rFonts w:ascii="Cambria Math" w:hAnsi="Cambria Math"/>
                        <w:sz w:val="12"/>
                        <w:szCs w:val="12"/>
                      </w:rPr>
                      <m:t>13,62±0,00</m:t>
                    </m:r>
                  </m:e>
                  <m:sup>
                    <m:r>
                      <w:rPr>
                        <w:rFonts w:ascii="Cambria Math" w:hAnsi="Cambria Math"/>
                        <w:sz w:val="12"/>
                        <w:szCs w:val="12"/>
                      </w:rPr>
                      <m:t>b</m:t>
                    </m:r>
                  </m:sup>
                </m:sSup>
              </m:oMath>
            </m:oMathPara>
          </w:p>
        </w:tc>
        <w:tc>
          <w:tcPr>
            <w:tcW w:w="772" w:type="dxa"/>
          </w:tcPr>
          <w:p w14:paraId="6282D37A" w14:textId="77777777" w:rsidR="00D52BF7" w:rsidRPr="002C25C7" w:rsidRDefault="003A4C0C" w:rsidP="00AC3749">
            <w:pPr>
              <w:spacing w:line="360" w:lineRule="auto"/>
              <w:rPr>
                <w:color w:val="000000"/>
                <w:sz w:val="12"/>
                <w:szCs w:val="12"/>
              </w:rPr>
            </w:pPr>
            <m:oMathPara>
              <m:oMath>
                <m:sSup>
                  <m:sSupPr>
                    <m:ctrlPr>
                      <w:rPr>
                        <w:rFonts w:ascii="Cambria Math" w:hAnsi="Cambria Math"/>
                        <w:i/>
                        <w:sz w:val="12"/>
                        <w:szCs w:val="12"/>
                      </w:rPr>
                    </m:ctrlPr>
                  </m:sSupPr>
                  <m:e>
                    <m:r>
                      <w:rPr>
                        <w:rFonts w:ascii="Cambria Math" w:hAnsi="Cambria Math"/>
                        <w:sz w:val="12"/>
                        <w:szCs w:val="12"/>
                      </w:rPr>
                      <m:t>7,12±0,02</m:t>
                    </m:r>
                  </m:e>
                  <m:sup>
                    <m:r>
                      <w:rPr>
                        <w:rFonts w:ascii="Cambria Math" w:hAnsi="Cambria Math"/>
                        <w:sz w:val="12"/>
                        <w:szCs w:val="12"/>
                      </w:rPr>
                      <m:t>d</m:t>
                    </m:r>
                  </m:sup>
                </m:sSup>
              </m:oMath>
            </m:oMathPara>
          </w:p>
        </w:tc>
        <w:tc>
          <w:tcPr>
            <w:tcW w:w="771" w:type="dxa"/>
          </w:tcPr>
          <w:p w14:paraId="4FF7D167" w14:textId="77777777" w:rsidR="00D52BF7" w:rsidRPr="002C25C7" w:rsidRDefault="003A4C0C" w:rsidP="00AC3749">
            <w:pPr>
              <w:spacing w:line="360" w:lineRule="auto"/>
              <w:rPr>
                <w:color w:val="000000"/>
                <w:sz w:val="12"/>
                <w:szCs w:val="12"/>
              </w:rPr>
            </w:pPr>
            <m:oMathPara>
              <m:oMath>
                <m:sSup>
                  <m:sSupPr>
                    <m:ctrlPr>
                      <w:rPr>
                        <w:rFonts w:ascii="Cambria Math" w:hAnsi="Cambria Math"/>
                        <w:i/>
                        <w:sz w:val="12"/>
                        <w:szCs w:val="12"/>
                      </w:rPr>
                    </m:ctrlPr>
                  </m:sSupPr>
                  <m:e>
                    <m:r>
                      <w:rPr>
                        <w:rFonts w:ascii="Cambria Math" w:hAnsi="Cambria Math"/>
                        <w:sz w:val="12"/>
                        <w:szCs w:val="12"/>
                      </w:rPr>
                      <m:t>2,21±0,01</m:t>
                    </m:r>
                  </m:e>
                  <m:sup>
                    <m:r>
                      <w:rPr>
                        <w:rFonts w:ascii="Cambria Math" w:hAnsi="Cambria Math"/>
                        <w:sz w:val="12"/>
                        <w:szCs w:val="12"/>
                      </w:rPr>
                      <m:t>f</m:t>
                    </m:r>
                  </m:sup>
                </m:sSup>
              </m:oMath>
            </m:oMathPara>
          </w:p>
        </w:tc>
        <w:tc>
          <w:tcPr>
            <w:tcW w:w="800" w:type="dxa"/>
          </w:tcPr>
          <w:p w14:paraId="71292D56" w14:textId="77777777" w:rsidR="00D52BF7" w:rsidRPr="002C25C7" w:rsidRDefault="003A4C0C" w:rsidP="00AC3749">
            <w:pPr>
              <w:spacing w:line="360" w:lineRule="auto"/>
              <w:rPr>
                <w:bCs/>
                <w:color w:val="000000"/>
                <w:sz w:val="12"/>
                <w:szCs w:val="12"/>
              </w:rPr>
            </w:pPr>
            <m:oMathPara>
              <m:oMath>
                <m:sSup>
                  <m:sSupPr>
                    <m:ctrlPr>
                      <w:rPr>
                        <w:rFonts w:ascii="Cambria Math" w:hAnsi="Cambria Math"/>
                        <w:i/>
                        <w:sz w:val="12"/>
                        <w:szCs w:val="12"/>
                      </w:rPr>
                    </m:ctrlPr>
                  </m:sSupPr>
                  <m:e>
                    <m:r>
                      <w:rPr>
                        <w:rFonts w:ascii="Cambria Math" w:hAnsi="Cambria Math"/>
                        <w:sz w:val="12"/>
                        <w:szCs w:val="12"/>
                      </w:rPr>
                      <m:t>1,02±0,01</m:t>
                    </m:r>
                  </m:e>
                  <m:sup>
                    <m:r>
                      <w:rPr>
                        <w:rFonts w:ascii="Cambria Math" w:hAnsi="Cambria Math"/>
                        <w:sz w:val="12"/>
                        <w:szCs w:val="12"/>
                      </w:rPr>
                      <m:t>f</m:t>
                    </m:r>
                  </m:sup>
                </m:sSup>
              </m:oMath>
            </m:oMathPara>
          </w:p>
        </w:tc>
      </w:tr>
      <w:tr w:rsidR="002C25C7" w:rsidRPr="002C25C7" w14:paraId="61958225" w14:textId="77777777" w:rsidTr="00E24A95">
        <w:trPr>
          <w:trHeight w:val="123"/>
          <w:jc w:val="center"/>
        </w:trPr>
        <w:tc>
          <w:tcPr>
            <w:tcW w:w="673" w:type="dxa"/>
            <w:shd w:val="clear" w:color="auto" w:fill="00FF99"/>
          </w:tcPr>
          <w:p w14:paraId="1EC1A7C8" w14:textId="77777777" w:rsidR="00D52BF7" w:rsidRPr="002C25C7" w:rsidRDefault="00F51A88" w:rsidP="008257A6">
            <w:pPr>
              <w:spacing w:line="360" w:lineRule="auto"/>
              <w:ind w:firstLine="0"/>
              <w:jc w:val="center"/>
              <w:rPr>
                <w:b/>
                <w:sz w:val="12"/>
                <w:szCs w:val="12"/>
              </w:rPr>
            </w:pPr>
            <w:r>
              <w:rPr>
                <w:b/>
                <w:sz w:val="12"/>
                <w:szCs w:val="12"/>
              </w:rPr>
              <w:t xml:space="preserve">pH </w:t>
            </w:r>
            <w:r w:rsidR="00D52BF7" w:rsidRPr="002C25C7">
              <w:rPr>
                <w:b/>
                <w:sz w:val="12"/>
                <w:szCs w:val="12"/>
              </w:rPr>
              <w:t>5</w:t>
            </w:r>
          </w:p>
        </w:tc>
        <w:tc>
          <w:tcPr>
            <w:tcW w:w="772" w:type="dxa"/>
          </w:tcPr>
          <w:p w14:paraId="064E72A2" w14:textId="77777777" w:rsidR="00D52BF7" w:rsidRPr="002C25C7" w:rsidRDefault="003A4C0C" w:rsidP="00AC3749">
            <w:pPr>
              <w:spacing w:line="360" w:lineRule="auto"/>
              <w:rPr>
                <w:sz w:val="12"/>
                <w:szCs w:val="12"/>
              </w:rPr>
            </w:pPr>
            <m:oMathPara>
              <m:oMath>
                <m:sSup>
                  <m:sSupPr>
                    <m:ctrlPr>
                      <w:rPr>
                        <w:rFonts w:ascii="Cambria Math" w:hAnsi="Cambria Math"/>
                        <w:i/>
                        <w:sz w:val="12"/>
                        <w:szCs w:val="12"/>
                      </w:rPr>
                    </m:ctrlPr>
                  </m:sSupPr>
                  <m:e>
                    <m:r>
                      <w:rPr>
                        <w:rFonts w:ascii="Cambria Math" w:hAnsi="Cambria Math"/>
                        <w:sz w:val="12"/>
                        <w:szCs w:val="12"/>
                      </w:rPr>
                      <m:t>16,71±0,00</m:t>
                    </m:r>
                  </m:e>
                  <m:sup>
                    <m:r>
                      <w:rPr>
                        <w:rFonts w:ascii="Cambria Math" w:hAnsi="Cambria Math"/>
                        <w:sz w:val="12"/>
                        <w:szCs w:val="12"/>
                      </w:rPr>
                      <m:t>a</m:t>
                    </m:r>
                  </m:sup>
                </m:sSup>
              </m:oMath>
            </m:oMathPara>
          </w:p>
        </w:tc>
        <w:tc>
          <w:tcPr>
            <w:tcW w:w="771" w:type="dxa"/>
          </w:tcPr>
          <w:p w14:paraId="0A907590" w14:textId="77777777" w:rsidR="00D52BF7" w:rsidRPr="002C25C7" w:rsidRDefault="003A4C0C" w:rsidP="00AC3749">
            <w:pPr>
              <w:spacing w:line="360" w:lineRule="auto"/>
              <w:rPr>
                <w:sz w:val="12"/>
                <w:szCs w:val="12"/>
              </w:rPr>
            </w:pPr>
            <m:oMathPara>
              <m:oMath>
                <m:sSup>
                  <m:sSupPr>
                    <m:ctrlPr>
                      <w:rPr>
                        <w:rFonts w:ascii="Cambria Math" w:hAnsi="Cambria Math"/>
                        <w:i/>
                        <w:sz w:val="12"/>
                        <w:szCs w:val="12"/>
                      </w:rPr>
                    </m:ctrlPr>
                  </m:sSupPr>
                  <m:e>
                    <m:r>
                      <w:rPr>
                        <w:rFonts w:ascii="Cambria Math" w:hAnsi="Cambria Math"/>
                        <w:sz w:val="12"/>
                        <w:szCs w:val="12"/>
                      </w:rPr>
                      <m:t>13,62±0,01</m:t>
                    </m:r>
                  </m:e>
                  <m:sup>
                    <m:r>
                      <w:rPr>
                        <w:rFonts w:ascii="Cambria Math" w:hAnsi="Cambria Math"/>
                        <w:sz w:val="12"/>
                        <w:szCs w:val="12"/>
                      </w:rPr>
                      <m:t>b</m:t>
                    </m:r>
                  </m:sup>
                </m:sSup>
              </m:oMath>
            </m:oMathPara>
          </w:p>
        </w:tc>
        <w:tc>
          <w:tcPr>
            <w:tcW w:w="772" w:type="dxa"/>
          </w:tcPr>
          <w:p w14:paraId="62FADE71" w14:textId="77777777" w:rsidR="00D52BF7" w:rsidRPr="002C25C7" w:rsidRDefault="003A4C0C" w:rsidP="00AC3749">
            <w:pPr>
              <w:spacing w:line="360" w:lineRule="auto"/>
              <w:rPr>
                <w:sz w:val="12"/>
                <w:szCs w:val="12"/>
              </w:rPr>
            </w:pPr>
            <m:oMathPara>
              <m:oMath>
                <m:sSup>
                  <m:sSupPr>
                    <m:ctrlPr>
                      <w:rPr>
                        <w:rFonts w:ascii="Cambria Math" w:hAnsi="Cambria Math"/>
                        <w:i/>
                        <w:sz w:val="12"/>
                        <w:szCs w:val="12"/>
                      </w:rPr>
                    </m:ctrlPr>
                  </m:sSupPr>
                  <m:e>
                    <m:r>
                      <w:rPr>
                        <w:rFonts w:ascii="Cambria Math" w:hAnsi="Cambria Math"/>
                        <w:sz w:val="12"/>
                        <w:szCs w:val="12"/>
                      </w:rPr>
                      <m:t>7,22±0,01</m:t>
                    </m:r>
                  </m:e>
                  <m:sup>
                    <m:r>
                      <w:rPr>
                        <w:rFonts w:ascii="Cambria Math" w:hAnsi="Cambria Math"/>
                        <w:sz w:val="12"/>
                        <w:szCs w:val="12"/>
                      </w:rPr>
                      <m:t>c</m:t>
                    </m:r>
                  </m:sup>
                </m:sSup>
              </m:oMath>
            </m:oMathPara>
          </w:p>
        </w:tc>
        <w:tc>
          <w:tcPr>
            <w:tcW w:w="771" w:type="dxa"/>
          </w:tcPr>
          <w:p w14:paraId="4D3479AE" w14:textId="77777777" w:rsidR="00D52BF7" w:rsidRPr="002C25C7" w:rsidRDefault="003A4C0C" w:rsidP="00AC3749">
            <w:pPr>
              <w:spacing w:line="360" w:lineRule="auto"/>
              <w:rPr>
                <w:sz w:val="12"/>
                <w:szCs w:val="12"/>
              </w:rPr>
            </w:pPr>
            <m:oMathPara>
              <m:oMath>
                <m:sSup>
                  <m:sSupPr>
                    <m:ctrlPr>
                      <w:rPr>
                        <w:rFonts w:ascii="Cambria Math" w:hAnsi="Cambria Math"/>
                        <w:i/>
                        <w:sz w:val="12"/>
                        <w:szCs w:val="12"/>
                      </w:rPr>
                    </m:ctrlPr>
                  </m:sSupPr>
                  <m:e>
                    <m:r>
                      <w:rPr>
                        <w:rFonts w:ascii="Cambria Math" w:hAnsi="Cambria Math"/>
                        <w:sz w:val="12"/>
                        <w:szCs w:val="12"/>
                      </w:rPr>
                      <m:t>3,30±0,02</m:t>
                    </m:r>
                  </m:e>
                  <m:sup>
                    <m:r>
                      <w:rPr>
                        <w:rFonts w:ascii="Cambria Math" w:hAnsi="Cambria Math"/>
                        <w:sz w:val="12"/>
                        <w:szCs w:val="12"/>
                      </w:rPr>
                      <m:t>c</m:t>
                    </m:r>
                  </m:sup>
                </m:sSup>
              </m:oMath>
            </m:oMathPara>
          </w:p>
        </w:tc>
        <w:tc>
          <w:tcPr>
            <w:tcW w:w="800" w:type="dxa"/>
          </w:tcPr>
          <w:p w14:paraId="712CDFE0" w14:textId="77777777" w:rsidR="00D52BF7" w:rsidRPr="002C25C7" w:rsidRDefault="003A4C0C" w:rsidP="00AC3749">
            <w:pPr>
              <w:spacing w:line="360" w:lineRule="auto"/>
              <w:rPr>
                <w:sz w:val="12"/>
                <w:szCs w:val="12"/>
              </w:rPr>
            </w:pPr>
            <m:oMathPara>
              <m:oMath>
                <m:sSup>
                  <m:sSupPr>
                    <m:ctrlPr>
                      <w:rPr>
                        <w:rFonts w:ascii="Cambria Math" w:hAnsi="Cambria Math"/>
                        <w:i/>
                        <w:sz w:val="12"/>
                        <w:szCs w:val="12"/>
                      </w:rPr>
                    </m:ctrlPr>
                  </m:sSupPr>
                  <m:e>
                    <m:r>
                      <w:rPr>
                        <w:rFonts w:ascii="Cambria Math" w:hAnsi="Cambria Math"/>
                        <w:sz w:val="12"/>
                        <w:szCs w:val="12"/>
                      </w:rPr>
                      <m:t>1,67±0,01</m:t>
                    </m:r>
                  </m:e>
                  <m:sup>
                    <m:r>
                      <w:rPr>
                        <w:rFonts w:ascii="Cambria Math" w:hAnsi="Cambria Math"/>
                        <w:sz w:val="12"/>
                        <w:szCs w:val="12"/>
                      </w:rPr>
                      <m:t>d</m:t>
                    </m:r>
                  </m:sup>
                </m:sSup>
              </m:oMath>
            </m:oMathPara>
          </w:p>
        </w:tc>
      </w:tr>
      <w:tr w:rsidR="002C25C7" w:rsidRPr="002C25C7" w14:paraId="5C139E9E" w14:textId="77777777" w:rsidTr="00E24A95">
        <w:trPr>
          <w:trHeight w:val="191"/>
          <w:jc w:val="center"/>
        </w:trPr>
        <w:tc>
          <w:tcPr>
            <w:tcW w:w="673" w:type="dxa"/>
            <w:shd w:val="clear" w:color="auto" w:fill="00FF99"/>
          </w:tcPr>
          <w:p w14:paraId="3FAEA354" w14:textId="77777777" w:rsidR="00D52BF7" w:rsidRPr="002C25C7" w:rsidRDefault="00F51A88" w:rsidP="008257A6">
            <w:pPr>
              <w:spacing w:line="360" w:lineRule="auto"/>
              <w:ind w:firstLine="0"/>
              <w:jc w:val="center"/>
              <w:rPr>
                <w:b/>
                <w:sz w:val="12"/>
                <w:szCs w:val="12"/>
              </w:rPr>
            </w:pPr>
            <w:r>
              <w:rPr>
                <w:b/>
                <w:sz w:val="12"/>
                <w:szCs w:val="12"/>
              </w:rPr>
              <w:t xml:space="preserve">pH </w:t>
            </w:r>
            <w:r w:rsidR="00D52BF7" w:rsidRPr="002C25C7">
              <w:rPr>
                <w:b/>
                <w:sz w:val="12"/>
                <w:szCs w:val="12"/>
              </w:rPr>
              <w:t>5,5</w:t>
            </w:r>
          </w:p>
        </w:tc>
        <w:tc>
          <w:tcPr>
            <w:tcW w:w="772" w:type="dxa"/>
          </w:tcPr>
          <w:p w14:paraId="29BC97D9" w14:textId="77777777" w:rsidR="00D52BF7" w:rsidRPr="002C25C7" w:rsidRDefault="003A4C0C" w:rsidP="00AC3749">
            <w:pPr>
              <w:spacing w:line="360" w:lineRule="auto"/>
              <w:rPr>
                <w:sz w:val="12"/>
                <w:szCs w:val="12"/>
              </w:rPr>
            </w:pPr>
            <m:oMathPara>
              <m:oMath>
                <m:sSup>
                  <m:sSupPr>
                    <m:ctrlPr>
                      <w:rPr>
                        <w:rFonts w:ascii="Cambria Math" w:hAnsi="Cambria Math"/>
                        <w:i/>
                        <w:sz w:val="12"/>
                        <w:szCs w:val="12"/>
                      </w:rPr>
                    </m:ctrlPr>
                  </m:sSupPr>
                  <m:e>
                    <m:r>
                      <w:rPr>
                        <w:rFonts w:ascii="Cambria Math" w:hAnsi="Cambria Math"/>
                        <w:sz w:val="12"/>
                        <w:szCs w:val="12"/>
                      </w:rPr>
                      <m:t>16,71±0,02</m:t>
                    </m:r>
                  </m:e>
                  <m:sup>
                    <m:r>
                      <w:rPr>
                        <w:rFonts w:ascii="Cambria Math" w:hAnsi="Cambria Math"/>
                        <w:sz w:val="12"/>
                        <w:szCs w:val="12"/>
                      </w:rPr>
                      <m:t>a</m:t>
                    </m:r>
                  </m:sup>
                </m:sSup>
              </m:oMath>
            </m:oMathPara>
          </w:p>
        </w:tc>
        <w:tc>
          <w:tcPr>
            <w:tcW w:w="771" w:type="dxa"/>
          </w:tcPr>
          <w:p w14:paraId="431A1A80" w14:textId="77777777" w:rsidR="00D52BF7" w:rsidRPr="002C25C7" w:rsidRDefault="003A4C0C" w:rsidP="00AC3749">
            <w:pPr>
              <w:spacing w:line="360" w:lineRule="auto"/>
              <w:rPr>
                <w:sz w:val="12"/>
                <w:szCs w:val="12"/>
              </w:rPr>
            </w:pPr>
            <m:oMathPara>
              <m:oMath>
                <m:sSup>
                  <m:sSupPr>
                    <m:ctrlPr>
                      <w:rPr>
                        <w:rFonts w:ascii="Cambria Math" w:hAnsi="Cambria Math"/>
                        <w:i/>
                        <w:sz w:val="12"/>
                        <w:szCs w:val="12"/>
                      </w:rPr>
                    </m:ctrlPr>
                  </m:sSupPr>
                  <m:e>
                    <m:r>
                      <w:rPr>
                        <w:rFonts w:ascii="Cambria Math" w:hAnsi="Cambria Math"/>
                        <w:sz w:val="12"/>
                        <w:szCs w:val="12"/>
                      </w:rPr>
                      <m:t>15,42±0,02</m:t>
                    </m:r>
                  </m:e>
                  <m:sup>
                    <m:r>
                      <w:rPr>
                        <w:rFonts w:ascii="Cambria Math" w:hAnsi="Cambria Math"/>
                        <w:sz w:val="12"/>
                        <w:szCs w:val="12"/>
                      </w:rPr>
                      <m:t>a</m:t>
                    </m:r>
                  </m:sup>
                </m:sSup>
              </m:oMath>
            </m:oMathPara>
          </w:p>
        </w:tc>
        <w:tc>
          <w:tcPr>
            <w:tcW w:w="772" w:type="dxa"/>
          </w:tcPr>
          <w:p w14:paraId="5B7782F4" w14:textId="77777777" w:rsidR="00D52BF7" w:rsidRPr="002C25C7" w:rsidRDefault="003A4C0C" w:rsidP="00AC3749">
            <w:pPr>
              <w:spacing w:line="360" w:lineRule="auto"/>
              <w:rPr>
                <w:sz w:val="12"/>
                <w:szCs w:val="12"/>
              </w:rPr>
            </w:pPr>
            <m:oMathPara>
              <m:oMath>
                <m:sSup>
                  <m:sSupPr>
                    <m:ctrlPr>
                      <w:rPr>
                        <w:rFonts w:ascii="Cambria Math" w:hAnsi="Cambria Math"/>
                        <w:i/>
                        <w:sz w:val="12"/>
                        <w:szCs w:val="12"/>
                      </w:rPr>
                    </m:ctrlPr>
                  </m:sSupPr>
                  <m:e>
                    <m:r>
                      <w:rPr>
                        <w:rFonts w:ascii="Cambria Math" w:hAnsi="Cambria Math"/>
                        <w:sz w:val="12"/>
                        <w:szCs w:val="12"/>
                      </w:rPr>
                      <m:t>15,39±0,01</m:t>
                    </m:r>
                  </m:e>
                  <m:sup>
                    <m:r>
                      <w:rPr>
                        <w:rFonts w:ascii="Cambria Math" w:hAnsi="Cambria Math"/>
                        <w:sz w:val="12"/>
                        <w:szCs w:val="12"/>
                      </w:rPr>
                      <m:t>a</m:t>
                    </m:r>
                  </m:sup>
                </m:sSup>
              </m:oMath>
            </m:oMathPara>
          </w:p>
        </w:tc>
        <w:tc>
          <w:tcPr>
            <w:tcW w:w="771" w:type="dxa"/>
          </w:tcPr>
          <w:p w14:paraId="12E7BE68" w14:textId="77777777" w:rsidR="00D52BF7" w:rsidRPr="002C25C7" w:rsidRDefault="003A4C0C" w:rsidP="00AC3749">
            <w:pPr>
              <w:spacing w:line="360" w:lineRule="auto"/>
              <w:rPr>
                <w:sz w:val="12"/>
                <w:szCs w:val="12"/>
              </w:rPr>
            </w:pPr>
            <m:oMathPara>
              <m:oMath>
                <m:sSup>
                  <m:sSupPr>
                    <m:ctrlPr>
                      <w:rPr>
                        <w:rFonts w:ascii="Cambria Math" w:hAnsi="Cambria Math"/>
                        <w:i/>
                        <w:sz w:val="12"/>
                        <w:szCs w:val="12"/>
                      </w:rPr>
                    </m:ctrlPr>
                  </m:sSupPr>
                  <m:e>
                    <m:r>
                      <w:rPr>
                        <w:rFonts w:ascii="Cambria Math" w:hAnsi="Cambria Math"/>
                        <w:sz w:val="12"/>
                        <w:szCs w:val="12"/>
                      </w:rPr>
                      <m:t>15,23±0,01</m:t>
                    </m:r>
                  </m:e>
                  <m:sup>
                    <m:r>
                      <w:rPr>
                        <w:rFonts w:ascii="Cambria Math" w:hAnsi="Cambria Math"/>
                        <w:sz w:val="12"/>
                        <w:szCs w:val="12"/>
                      </w:rPr>
                      <m:t>a</m:t>
                    </m:r>
                  </m:sup>
                </m:sSup>
              </m:oMath>
            </m:oMathPara>
          </w:p>
        </w:tc>
        <w:tc>
          <w:tcPr>
            <w:tcW w:w="800" w:type="dxa"/>
          </w:tcPr>
          <w:p w14:paraId="5F80679B" w14:textId="77777777" w:rsidR="00D52BF7" w:rsidRPr="002C25C7" w:rsidRDefault="003A4C0C" w:rsidP="00AC3749">
            <w:pPr>
              <w:spacing w:line="360" w:lineRule="auto"/>
              <w:rPr>
                <w:sz w:val="12"/>
                <w:szCs w:val="12"/>
              </w:rPr>
            </w:pPr>
            <m:oMathPara>
              <m:oMath>
                <m:sSup>
                  <m:sSupPr>
                    <m:ctrlPr>
                      <w:rPr>
                        <w:rFonts w:ascii="Cambria Math" w:hAnsi="Cambria Math"/>
                        <w:i/>
                        <w:sz w:val="12"/>
                        <w:szCs w:val="12"/>
                      </w:rPr>
                    </m:ctrlPr>
                  </m:sSupPr>
                  <m:e>
                    <m:r>
                      <w:rPr>
                        <w:rFonts w:ascii="Cambria Math" w:hAnsi="Cambria Math"/>
                        <w:sz w:val="12"/>
                        <w:szCs w:val="12"/>
                      </w:rPr>
                      <m:t>14,41±0,02</m:t>
                    </m:r>
                  </m:e>
                  <m:sup>
                    <m:r>
                      <w:rPr>
                        <w:rFonts w:ascii="Cambria Math" w:hAnsi="Cambria Math"/>
                        <w:sz w:val="12"/>
                        <w:szCs w:val="12"/>
                      </w:rPr>
                      <m:t>a</m:t>
                    </m:r>
                  </m:sup>
                </m:sSup>
              </m:oMath>
            </m:oMathPara>
          </w:p>
        </w:tc>
      </w:tr>
      <w:tr w:rsidR="002C25C7" w:rsidRPr="002C25C7" w14:paraId="411EE098" w14:textId="77777777" w:rsidTr="00E24A95">
        <w:trPr>
          <w:trHeight w:val="111"/>
          <w:jc w:val="center"/>
        </w:trPr>
        <w:tc>
          <w:tcPr>
            <w:tcW w:w="673" w:type="dxa"/>
            <w:shd w:val="clear" w:color="auto" w:fill="00FF99"/>
          </w:tcPr>
          <w:p w14:paraId="77B8F028" w14:textId="77777777" w:rsidR="00D52BF7" w:rsidRPr="002C25C7" w:rsidRDefault="00F51A88" w:rsidP="008257A6">
            <w:pPr>
              <w:spacing w:line="360" w:lineRule="auto"/>
              <w:ind w:firstLine="0"/>
              <w:jc w:val="center"/>
              <w:rPr>
                <w:b/>
                <w:sz w:val="12"/>
                <w:szCs w:val="12"/>
              </w:rPr>
            </w:pPr>
            <w:r>
              <w:rPr>
                <w:b/>
                <w:sz w:val="12"/>
                <w:szCs w:val="12"/>
              </w:rPr>
              <w:t xml:space="preserve">pH </w:t>
            </w:r>
            <w:r w:rsidR="00D52BF7" w:rsidRPr="002C25C7">
              <w:rPr>
                <w:b/>
                <w:sz w:val="12"/>
                <w:szCs w:val="12"/>
              </w:rPr>
              <w:t>6</w:t>
            </w:r>
          </w:p>
        </w:tc>
        <w:tc>
          <w:tcPr>
            <w:tcW w:w="772" w:type="dxa"/>
          </w:tcPr>
          <w:p w14:paraId="0CE229CB" w14:textId="77777777" w:rsidR="00D52BF7" w:rsidRPr="002C25C7" w:rsidRDefault="003A4C0C" w:rsidP="00AC3749">
            <w:pPr>
              <w:spacing w:line="360" w:lineRule="auto"/>
              <w:rPr>
                <w:sz w:val="12"/>
                <w:szCs w:val="12"/>
              </w:rPr>
            </w:pPr>
            <m:oMathPara>
              <m:oMath>
                <m:sSup>
                  <m:sSupPr>
                    <m:ctrlPr>
                      <w:rPr>
                        <w:rFonts w:ascii="Cambria Math" w:hAnsi="Cambria Math"/>
                        <w:i/>
                        <w:sz w:val="12"/>
                        <w:szCs w:val="12"/>
                      </w:rPr>
                    </m:ctrlPr>
                  </m:sSupPr>
                  <m:e>
                    <m:r>
                      <w:rPr>
                        <w:rFonts w:ascii="Cambria Math" w:hAnsi="Cambria Math"/>
                        <w:sz w:val="12"/>
                        <w:szCs w:val="12"/>
                      </w:rPr>
                      <m:t>16,71±0,02</m:t>
                    </m:r>
                  </m:e>
                  <m:sup>
                    <m:r>
                      <w:rPr>
                        <w:rFonts w:ascii="Cambria Math" w:hAnsi="Cambria Math"/>
                        <w:sz w:val="12"/>
                        <w:szCs w:val="12"/>
                      </w:rPr>
                      <m:t>a</m:t>
                    </m:r>
                  </m:sup>
                </m:sSup>
              </m:oMath>
            </m:oMathPara>
          </w:p>
        </w:tc>
        <w:tc>
          <w:tcPr>
            <w:tcW w:w="771" w:type="dxa"/>
          </w:tcPr>
          <w:p w14:paraId="5B69FC94" w14:textId="77777777" w:rsidR="00D52BF7" w:rsidRPr="002C25C7" w:rsidRDefault="003A4C0C" w:rsidP="00AC3749">
            <w:pPr>
              <w:spacing w:line="360" w:lineRule="auto"/>
              <w:rPr>
                <w:sz w:val="12"/>
                <w:szCs w:val="12"/>
              </w:rPr>
            </w:pPr>
            <m:oMathPara>
              <m:oMath>
                <m:sSup>
                  <m:sSupPr>
                    <m:ctrlPr>
                      <w:rPr>
                        <w:rFonts w:ascii="Cambria Math" w:hAnsi="Cambria Math"/>
                        <w:i/>
                        <w:sz w:val="12"/>
                        <w:szCs w:val="12"/>
                      </w:rPr>
                    </m:ctrlPr>
                  </m:sSupPr>
                  <m:e>
                    <m:r>
                      <w:rPr>
                        <w:rFonts w:ascii="Cambria Math" w:hAnsi="Cambria Math"/>
                        <w:sz w:val="12"/>
                        <w:szCs w:val="12"/>
                      </w:rPr>
                      <m:t>13,62±0,02</m:t>
                    </m:r>
                  </m:e>
                  <m:sup>
                    <m:r>
                      <w:rPr>
                        <w:rFonts w:ascii="Cambria Math" w:hAnsi="Cambria Math"/>
                        <w:sz w:val="12"/>
                        <w:szCs w:val="12"/>
                      </w:rPr>
                      <m:t>b</m:t>
                    </m:r>
                  </m:sup>
                </m:sSup>
              </m:oMath>
            </m:oMathPara>
          </w:p>
        </w:tc>
        <w:tc>
          <w:tcPr>
            <w:tcW w:w="772" w:type="dxa"/>
          </w:tcPr>
          <w:p w14:paraId="0C0B9D93" w14:textId="77777777" w:rsidR="00D52BF7" w:rsidRPr="002C25C7" w:rsidRDefault="003A4C0C" w:rsidP="00AC3749">
            <w:pPr>
              <w:spacing w:line="360" w:lineRule="auto"/>
              <w:rPr>
                <w:sz w:val="12"/>
                <w:szCs w:val="12"/>
              </w:rPr>
            </w:pPr>
            <m:oMathPara>
              <m:oMath>
                <m:sSup>
                  <m:sSupPr>
                    <m:ctrlPr>
                      <w:rPr>
                        <w:rFonts w:ascii="Cambria Math" w:hAnsi="Cambria Math"/>
                        <w:i/>
                        <w:sz w:val="12"/>
                        <w:szCs w:val="12"/>
                      </w:rPr>
                    </m:ctrlPr>
                  </m:sSupPr>
                  <m:e>
                    <m:r>
                      <w:rPr>
                        <w:rFonts w:ascii="Cambria Math" w:hAnsi="Cambria Math"/>
                        <w:sz w:val="12"/>
                        <w:szCs w:val="12"/>
                      </w:rPr>
                      <m:t>7,22±0,02</m:t>
                    </m:r>
                  </m:e>
                  <m:sup>
                    <m:r>
                      <w:rPr>
                        <w:rFonts w:ascii="Cambria Math" w:hAnsi="Cambria Math"/>
                        <w:sz w:val="12"/>
                        <w:szCs w:val="12"/>
                      </w:rPr>
                      <m:t>c</m:t>
                    </m:r>
                  </m:sup>
                </m:sSup>
              </m:oMath>
            </m:oMathPara>
          </w:p>
        </w:tc>
        <w:tc>
          <w:tcPr>
            <w:tcW w:w="771" w:type="dxa"/>
          </w:tcPr>
          <w:p w14:paraId="34A8C1C8" w14:textId="77777777" w:rsidR="00D52BF7" w:rsidRPr="002C25C7" w:rsidRDefault="003A4C0C" w:rsidP="00AC3749">
            <w:pPr>
              <w:spacing w:line="360" w:lineRule="auto"/>
              <w:rPr>
                <w:sz w:val="12"/>
                <w:szCs w:val="12"/>
              </w:rPr>
            </w:pPr>
            <m:oMathPara>
              <m:oMath>
                <m:sSup>
                  <m:sSupPr>
                    <m:ctrlPr>
                      <w:rPr>
                        <w:rFonts w:ascii="Cambria Math" w:hAnsi="Cambria Math"/>
                        <w:i/>
                        <w:sz w:val="12"/>
                        <w:szCs w:val="12"/>
                      </w:rPr>
                    </m:ctrlPr>
                  </m:sSupPr>
                  <m:e>
                    <m:r>
                      <w:rPr>
                        <w:rFonts w:ascii="Cambria Math" w:hAnsi="Cambria Math"/>
                        <w:sz w:val="12"/>
                        <w:szCs w:val="12"/>
                      </w:rPr>
                      <m:t>2,31±0,01</m:t>
                    </m:r>
                  </m:e>
                  <m:sup>
                    <m:r>
                      <w:rPr>
                        <w:rFonts w:ascii="Cambria Math" w:hAnsi="Cambria Math"/>
                        <w:sz w:val="12"/>
                        <w:szCs w:val="12"/>
                      </w:rPr>
                      <m:t>e</m:t>
                    </m:r>
                  </m:sup>
                </m:sSup>
              </m:oMath>
            </m:oMathPara>
          </w:p>
        </w:tc>
        <w:tc>
          <w:tcPr>
            <w:tcW w:w="800" w:type="dxa"/>
          </w:tcPr>
          <w:p w14:paraId="491EE408" w14:textId="77777777" w:rsidR="00D52BF7" w:rsidRPr="002C25C7" w:rsidRDefault="003A4C0C" w:rsidP="00AC3749">
            <w:pPr>
              <w:spacing w:line="360" w:lineRule="auto"/>
              <w:rPr>
                <w:sz w:val="12"/>
                <w:szCs w:val="12"/>
              </w:rPr>
            </w:pPr>
            <m:oMathPara>
              <m:oMath>
                <m:sSup>
                  <m:sSupPr>
                    <m:ctrlPr>
                      <w:rPr>
                        <w:rFonts w:ascii="Cambria Math" w:hAnsi="Cambria Math"/>
                        <w:i/>
                        <w:sz w:val="12"/>
                        <w:szCs w:val="12"/>
                      </w:rPr>
                    </m:ctrlPr>
                  </m:sSupPr>
                  <m:e>
                    <m:r>
                      <w:rPr>
                        <w:rFonts w:ascii="Cambria Math" w:hAnsi="Cambria Math"/>
                        <w:sz w:val="12"/>
                        <w:szCs w:val="12"/>
                      </w:rPr>
                      <m:t>1,76±0,02</m:t>
                    </m:r>
                  </m:e>
                  <m:sup>
                    <m:r>
                      <w:rPr>
                        <w:rFonts w:ascii="Cambria Math" w:hAnsi="Cambria Math"/>
                        <w:sz w:val="12"/>
                        <w:szCs w:val="12"/>
                      </w:rPr>
                      <m:t>c</m:t>
                    </m:r>
                  </m:sup>
                </m:sSup>
              </m:oMath>
            </m:oMathPara>
          </w:p>
        </w:tc>
      </w:tr>
      <w:tr w:rsidR="002C25C7" w:rsidRPr="002C25C7" w14:paraId="1934343B" w14:textId="77777777" w:rsidTr="00E24A95">
        <w:trPr>
          <w:trHeight w:val="137"/>
          <w:jc w:val="center"/>
        </w:trPr>
        <w:tc>
          <w:tcPr>
            <w:tcW w:w="673" w:type="dxa"/>
            <w:shd w:val="clear" w:color="auto" w:fill="00FF99"/>
            <w:vAlign w:val="center"/>
          </w:tcPr>
          <w:p w14:paraId="589B1151" w14:textId="77777777" w:rsidR="00D52BF7" w:rsidRPr="002C25C7" w:rsidRDefault="00F51A88" w:rsidP="008257A6">
            <w:pPr>
              <w:spacing w:line="360" w:lineRule="auto"/>
              <w:ind w:firstLine="0"/>
              <w:jc w:val="center"/>
              <w:rPr>
                <w:b/>
                <w:sz w:val="12"/>
                <w:szCs w:val="12"/>
              </w:rPr>
            </w:pPr>
            <w:r>
              <w:rPr>
                <w:b/>
                <w:sz w:val="12"/>
                <w:szCs w:val="12"/>
              </w:rPr>
              <w:t xml:space="preserve">pH </w:t>
            </w:r>
            <w:r w:rsidR="00D52BF7" w:rsidRPr="002C25C7">
              <w:rPr>
                <w:b/>
                <w:sz w:val="12"/>
                <w:szCs w:val="12"/>
              </w:rPr>
              <w:t>7,93</w:t>
            </w:r>
          </w:p>
        </w:tc>
        <w:tc>
          <w:tcPr>
            <w:tcW w:w="772" w:type="dxa"/>
          </w:tcPr>
          <w:p w14:paraId="4FF4320F" w14:textId="77777777" w:rsidR="00D52BF7" w:rsidRPr="002C25C7" w:rsidRDefault="003A4C0C" w:rsidP="00AC3749">
            <w:pPr>
              <w:spacing w:line="360" w:lineRule="auto"/>
              <w:rPr>
                <w:sz w:val="12"/>
                <w:szCs w:val="12"/>
              </w:rPr>
            </w:pPr>
            <m:oMathPara>
              <m:oMath>
                <m:sSup>
                  <m:sSupPr>
                    <m:ctrlPr>
                      <w:rPr>
                        <w:rFonts w:ascii="Cambria Math" w:hAnsi="Cambria Math"/>
                        <w:i/>
                        <w:sz w:val="12"/>
                        <w:szCs w:val="12"/>
                      </w:rPr>
                    </m:ctrlPr>
                  </m:sSupPr>
                  <m:e>
                    <m:r>
                      <w:rPr>
                        <w:rFonts w:ascii="Cambria Math" w:hAnsi="Cambria Math"/>
                        <w:sz w:val="12"/>
                        <w:szCs w:val="12"/>
                      </w:rPr>
                      <m:t>16,71±0.01</m:t>
                    </m:r>
                  </m:e>
                  <m:sup>
                    <m:r>
                      <w:rPr>
                        <w:rFonts w:ascii="Cambria Math" w:hAnsi="Cambria Math"/>
                        <w:sz w:val="12"/>
                        <w:szCs w:val="12"/>
                      </w:rPr>
                      <m:t>a</m:t>
                    </m:r>
                  </m:sup>
                </m:sSup>
              </m:oMath>
            </m:oMathPara>
          </w:p>
        </w:tc>
        <w:tc>
          <w:tcPr>
            <w:tcW w:w="771" w:type="dxa"/>
          </w:tcPr>
          <w:p w14:paraId="663136EC" w14:textId="77777777" w:rsidR="00D52BF7" w:rsidRPr="002C25C7" w:rsidRDefault="003A4C0C" w:rsidP="00AC3749">
            <w:pPr>
              <w:spacing w:line="360" w:lineRule="auto"/>
              <w:rPr>
                <w:sz w:val="12"/>
                <w:szCs w:val="12"/>
              </w:rPr>
            </w:pPr>
            <m:oMathPara>
              <m:oMath>
                <m:sSup>
                  <m:sSupPr>
                    <m:ctrlPr>
                      <w:rPr>
                        <w:rFonts w:ascii="Cambria Math" w:hAnsi="Cambria Math"/>
                        <w:i/>
                        <w:sz w:val="12"/>
                        <w:szCs w:val="12"/>
                      </w:rPr>
                    </m:ctrlPr>
                  </m:sSupPr>
                  <m:e>
                    <m:r>
                      <w:rPr>
                        <w:rFonts w:ascii="Cambria Math" w:hAnsi="Cambria Math"/>
                        <w:sz w:val="12"/>
                        <w:szCs w:val="12"/>
                      </w:rPr>
                      <m:t>12,95±0,01</m:t>
                    </m:r>
                  </m:e>
                  <m:sup>
                    <m:r>
                      <w:rPr>
                        <w:rFonts w:ascii="Cambria Math" w:hAnsi="Cambria Math"/>
                        <w:sz w:val="12"/>
                        <w:szCs w:val="12"/>
                      </w:rPr>
                      <m:t>c</m:t>
                    </m:r>
                  </m:sup>
                </m:sSup>
              </m:oMath>
            </m:oMathPara>
          </w:p>
        </w:tc>
        <w:tc>
          <w:tcPr>
            <w:tcW w:w="772" w:type="dxa"/>
          </w:tcPr>
          <w:p w14:paraId="0914F4E6" w14:textId="77777777" w:rsidR="00D52BF7" w:rsidRPr="002C25C7" w:rsidRDefault="003A4C0C" w:rsidP="00AC3749">
            <w:pPr>
              <w:spacing w:line="360" w:lineRule="auto"/>
              <w:rPr>
                <w:sz w:val="12"/>
                <w:szCs w:val="12"/>
              </w:rPr>
            </w:pPr>
            <m:oMathPara>
              <m:oMath>
                <m:sSup>
                  <m:sSupPr>
                    <m:ctrlPr>
                      <w:rPr>
                        <w:rFonts w:ascii="Cambria Math" w:hAnsi="Cambria Math"/>
                        <w:i/>
                        <w:sz w:val="12"/>
                        <w:szCs w:val="12"/>
                      </w:rPr>
                    </m:ctrlPr>
                  </m:sSupPr>
                  <m:e>
                    <m:r>
                      <w:rPr>
                        <w:rFonts w:ascii="Cambria Math" w:hAnsi="Cambria Math"/>
                        <w:sz w:val="12"/>
                        <w:szCs w:val="12"/>
                      </w:rPr>
                      <m:t>4,59±0,01</m:t>
                    </m:r>
                  </m:e>
                  <m:sup>
                    <m:r>
                      <w:rPr>
                        <w:rFonts w:ascii="Cambria Math" w:hAnsi="Cambria Math"/>
                        <w:sz w:val="12"/>
                        <w:szCs w:val="12"/>
                      </w:rPr>
                      <m:t>e</m:t>
                    </m:r>
                  </m:sup>
                </m:sSup>
              </m:oMath>
            </m:oMathPara>
          </w:p>
        </w:tc>
        <w:tc>
          <w:tcPr>
            <w:tcW w:w="771" w:type="dxa"/>
          </w:tcPr>
          <w:p w14:paraId="0403C405" w14:textId="77777777" w:rsidR="00D52BF7" w:rsidRPr="002C25C7" w:rsidRDefault="003A4C0C" w:rsidP="00AC3749">
            <w:pPr>
              <w:spacing w:line="360" w:lineRule="auto"/>
              <w:rPr>
                <w:sz w:val="12"/>
                <w:szCs w:val="12"/>
              </w:rPr>
            </w:pPr>
            <m:oMathPara>
              <m:oMath>
                <m:sSup>
                  <m:sSupPr>
                    <m:ctrlPr>
                      <w:rPr>
                        <w:rFonts w:ascii="Cambria Math" w:hAnsi="Cambria Math"/>
                        <w:i/>
                        <w:sz w:val="12"/>
                        <w:szCs w:val="12"/>
                      </w:rPr>
                    </m:ctrlPr>
                  </m:sSupPr>
                  <m:e>
                    <m:r>
                      <w:rPr>
                        <w:rFonts w:ascii="Cambria Math" w:hAnsi="Cambria Math"/>
                        <w:sz w:val="12"/>
                        <w:szCs w:val="12"/>
                      </w:rPr>
                      <m:t>2,74±0,01</m:t>
                    </m:r>
                  </m:e>
                  <m:sup>
                    <m:r>
                      <w:rPr>
                        <w:rFonts w:ascii="Cambria Math" w:hAnsi="Cambria Math"/>
                        <w:sz w:val="12"/>
                        <w:szCs w:val="12"/>
                      </w:rPr>
                      <m:t>d</m:t>
                    </m:r>
                  </m:sup>
                </m:sSup>
              </m:oMath>
            </m:oMathPara>
          </w:p>
        </w:tc>
        <w:tc>
          <w:tcPr>
            <w:tcW w:w="800" w:type="dxa"/>
          </w:tcPr>
          <w:p w14:paraId="1F83AA97" w14:textId="77777777" w:rsidR="00D52BF7" w:rsidRPr="002C25C7" w:rsidRDefault="003A4C0C" w:rsidP="00AC3749">
            <w:pPr>
              <w:spacing w:line="360" w:lineRule="auto"/>
              <w:rPr>
                <w:sz w:val="12"/>
                <w:szCs w:val="12"/>
              </w:rPr>
            </w:pPr>
            <m:oMathPara>
              <m:oMath>
                <m:sSup>
                  <m:sSupPr>
                    <m:ctrlPr>
                      <w:rPr>
                        <w:rFonts w:ascii="Cambria Math" w:hAnsi="Cambria Math"/>
                        <w:i/>
                        <w:sz w:val="12"/>
                        <w:szCs w:val="12"/>
                      </w:rPr>
                    </m:ctrlPr>
                  </m:sSupPr>
                  <m:e>
                    <m:r>
                      <w:rPr>
                        <w:rFonts w:ascii="Cambria Math" w:hAnsi="Cambria Math"/>
                        <w:sz w:val="12"/>
                        <w:szCs w:val="12"/>
                      </w:rPr>
                      <m:t>1,41±0,01</m:t>
                    </m:r>
                  </m:e>
                  <m:sup>
                    <m:r>
                      <w:rPr>
                        <w:rFonts w:ascii="Cambria Math" w:hAnsi="Cambria Math"/>
                        <w:sz w:val="12"/>
                        <w:szCs w:val="12"/>
                      </w:rPr>
                      <m:t>e</m:t>
                    </m:r>
                  </m:sup>
                </m:sSup>
              </m:oMath>
            </m:oMathPara>
          </w:p>
        </w:tc>
      </w:tr>
    </w:tbl>
    <w:p w14:paraId="02C478F4" w14:textId="3FFFF79C" w:rsidR="00310BC6" w:rsidRDefault="008257A6" w:rsidP="008257A6">
      <w:pPr>
        <w:spacing w:line="360" w:lineRule="auto"/>
        <w:rPr>
          <w:i/>
          <w:sz w:val="18"/>
          <w:szCs w:val="18"/>
        </w:rPr>
      </w:pPr>
      <w:r w:rsidRPr="008257A6">
        <w:rPr>
          <w:i/>
          <w:sz w:val="18"/>
          <w:szCs w:val="18"/>
        </w:rPr>
        <w:t xml:space="preserve">Các giá trị có cùng kí tự trong cùng một cột thì khác </w:t>
      </w:r>
      <w:r w:rsidR="00595C91">
        <w:rPr>
          <w:i/>
          <w:sz w:val="18"/>
          <w:szCs w:val="18"/>
        </w:rPr>
        <w:t>nhau không có nghĩa thống kê (p&gt;</w:t>
      </w:r>
      <w:r w:rsidRPr="008257A6">
        <w:rPr>
          <w:i/>
          <w:sz w:val="18"/>
          <w:szCs w:val="18"/>
        </w:rPr>
        <w:t>0,05)</w:t>
      </w:r>
      <w:r w:rsidR="00AD7CF1">
        <w:rPr>
          <w:i/>
          <w:sz w:val="18"/>
          <w:szCs w:val="18"/>
        </w:rPr>
        <w:t>.</w:t>
      </w:r>
    </w:p>
    <w:p w14:paraId="4660E0FD" w14:textId="77777777" w:rsidR="00B31425" w:rsidRPr="00847DA3" w:rsidRDefault="00847DA3" w:rsidP="00847DA3">
      <w:pPr>
        <w:spacing w:line="360" w:lineRule="auto"/>
        <w:ind w:firstLine="0"/>
        <w:rPr>
          <w:i/>
          <w:sz w:val="18"/>
          <w:szCs w:val="18"/>
        </w:rPr>
      </w:pPr>
      <w:r>
        <w:rPr>
          <w:b/>
          <w:i/>
          <w:sz w:val="18"/>
          <w:szCs w:val="18"/>
        </w:rPr>
        <w:t xml:space="preserve">Bảng </w:t>
      </w:r>
      <w:r w:rsidRPr="00642684">
        <w:rPr>
          <w:b/>
          <w:i/>
          <w:sz w:val="18"/>
          <w:szCs w:val="18"/>
        </w:rPr>
        <w:t>2:</w:t>
      </w:r>
      <w:r w:rsidRPr="00642684">
        <w:rPr>
          <w:i/>
          <w:sz w:val="18"/>
          <w:szCs w:val="18"/>
        </w:rPr>
        <w:t xml:space="preserve"> </w:t>
      </w:r>
      <w:r>
        <w:rPr>
          <w:i/>
          <w:sz w:val="18"/>
          <w:szCs w:val="18"/>
        </w:rPr>
        <w:t xml:space="preserve">Hàm lượng cồn tạo thành </w:t>
      </w:r>
      <w:r w:rsidRPr="00642684">
        <w:rPr>
          <w:i/>
          <w:sz w:val="18"/>
          <w:szCs w:val="18"/>
        </w:rPr>
        <w:t>theo thời gian lên men của các dịch lên ở các pH khác nhau</w:t>
      </w:r>
      <w:r>
        <w:rPr>
          <w:i/>
          <w:sz w:val="18"/>
          <w:szCs w:val="18"/>
        </w:rPr>
        <w:t>.</w:t>
      </w:r>
    </w:p>
    <w:tbl>
      <w:tblPr>
        <w:tblStyle w:val="TableGrid"/>
        <w:tblW w:w="4289" w:type="dxa"/>
        <w:jc w:val="center"/>
        <w:tblLook w:val="04A0" w:firstRow="1" w:lastRow="0" w:firstColumn="1" w:lastColumn="0" w:noHBand="0" w:noVBand="1"/>
      </w:tblPr>
      <w:tblGrid>
        <w:gridCol w:w="522"/>
        <w:gridCol w:w="617"/>
        <w:gridCol w:w="793"/>
        <w:gridCol w:w="799"/>
        <w:gridCol w:w="798"/>
        <w:gridCol w:w="760"/>
      </w:tblGrid>
      <w:tr w:rsidR="00642684" w:rsidRPr="00197D5F" w14:paraId="1095CDAB" w14:textId="77777777" w:rsidTr="00F51A88">
        <w:trPr>
          <w:trHeight w:val="235"/>
          <w:jc w:val="center"/>
        </w:trPr>
        <w:tc>
          <w:tcPr>
            <w:tcW w:w="522" w:type="dxa"/>
            <w:vMerge w:val="restart"/>
            <w:shd w:val="clear" w:color="auto" w:fill="00FF99"/>
            <w:vAlign w:val="center"/>
          </w:tcPr>
          <w:p w14:paraId="0DA4142B" w14:textId="77777777" w:rsidR="00BA2AF4" w:rsidRPr="00197D5F" w:rsidRDefault="00D52D32" w:rsidP="00D52D32">
            <w:pPr>
              <w:spacing w:line="360" w:lineRule="auto"/>
              <w:ind w:firstLine="0"/>
              <w:jc w:val="left"/>
              <w:rPr>
                <w:sz w:val="14"/>
                <w:szCs w:val="14"/>
              </w:rPr>
            </w:pPr>
            <w:r>
              <w:rPr>
                <w:b/>
                <w:sz w:val="14"/>
                <w:szCs w:val="14"/>
              </w:rPr>
              <w:t>Đ</w:t>
            </w:r>
            <w:r w:rsidR="00BA2AF4" w:rsidRPr="00197D5F">
              <w:rPr>
                <w:b/>
                <w:sz w:val="14"/>
                <w:szCs w:val="14"/>
              </w:rPr>
              <w:t>ộ cồn (%)</w:t>
            </w:r>
          </w:p>
        </w:tc>
        <w:tc>
          <w:tcPr>
            <w:tcW w:w="3767" w:type="dxa"/>
            <w:gridSpan w:val="5"/>
            <w:shd w:val="clear" w:color="auto" w:fill="00FF99"/>
            <w:vAlign w:val="center"/>
          </w:tcPr>
          <w:p w14:paraId="6AA68053" w14:textId="77777777" w:rsidR="00BA2AF4" w:rsidRPr="00197D5F" w:rsidRDefault="00BA2AF4" w:rsidP="00AC3749">
            <w:pPr>
              <w:spacing w:line="360" w:lineRule="auto"/>
              <w:jc w:val="center"/>
              <w:rPr>
                <w:b/>
                <w:sz w:val="16"/>
                <w:szCs w:val="16"/>
              </w:rPr>
            </w:pPr>
            <w:r w:rsidRPr="00197D5F">
              <w:rPr>
                <w:b/>
                <w:sz w:val="16"/>
                <w:szCs w:val="16"/>
              </w:rPr>
              <w:t>THỜI GIAN ( GIỜ)</w:t>
            </w:r>
          </w:p>
        </w:tc>
      </w:tr>
      <w:tr w:rsidR="00BA2AF4" w:rsidRPr="00197D5F" w14:paraId="7A8F3A78" w14:textId="77777777" w:rsidTr="00F51A88">
        <w:trPr>
          <w:trHeight w:val="293"/>
          <w:jc w:val="center"/>
        </w:trPr>
        <w:tc>
          <w:tcPr>
            <w:tcW w:w="522" w:type="dxa"/>
            <w:vMerge/>
            <w:tcBorders>
              <w:bottom w:val="single" w:sz="4" w:space="0" w:color="auto"/>
            </w:tcBorders>
            <w:shd w:val="clear" w:color="auto" w:fill="00FF99"/>
          </w:tcPr>
          <w:p w14:paraId="5DFFC09B" w14:textId="77777777" w:rsidR="00BA2AF4" w:rsidRPr="00197D5F" w:rsidRDefault="00BA2AF4" w:rsidP="00AC3749">
            <w:pPr>
              <w:spacing w:line="360" w:lineRule="auto"/>
              <w:rPr>
                <w:sz w:val="16"/>
                <w:szCs w:val="16"/>
              </w:rPr>
            </w:pPr>
          </w:p>
        </w:tc>
        <w:tc>
          <w:tcPr>
            <w:tcW w:w="617" w:type="dxa"/>
            <w:tcBorders>
              <w:bottom w:val="single" w:sz="4" w:space="0" w:color="auto"/>
            </w:tcBorders>
            <w:shd w:val="clear" w:color="auto" w:fill="00FF99"/>
            <w:vAlign w:val="center"/>
          </w:tcPr>
          <w:p w14:paraId="378CEFF2" w14:textId="77777777" w:rsidR="00BA2AF4" w:rsidRPr="00197D5F" w:rsidRDefault="00BA2AF4" w:rsidP="00E87489">
            <w:pPr>
              <w:spacing w:line="360" w:lineRule="auto"/>
              <w:rPr>
                <w:b/>
                <w:sz w:val="16"/>
                <w:szCs w:val="16"/>
              </w:rPr>
            </w:pPr>
            <w:r w:rsidRPr="00197D5F">
              <w:rPr>
                <w:b/>
                <w:sz w:val="16"/>
                <w:szCs w:val="16"/>
              </w:rPr>
              <w:t>0</w:t>
            </w:r>
          </w:p>
        </w:tc>
        <w:tc>
          <w:tcPr>
            <w:tcW w:w="793" w:type="dxa"/>
            <w:tcBorders>
              <w:bottom w:val="single" w:sz="4" w:space="0" w:color="auto"/>
            </w:tcBorders>
            <w:shd w:val="clear" w:color="auto" w:fill="00FF99"/>
            <w:vAlign w:val="center"/>
          </w:tcPr>
          <w:p w14:paraId="34DDF77F" w14:textId="77777777" w:rsidR="00BA2AF4" w:rsidRPr="00197D5F" w:rsidRDefault="00BA2AF4" w:rsidP="00E87489">
            <w:pPr>
              <w:spacing w:line="360" w:lineRule="auto"/>
              <w:rPr>
                <w:b/>
                <w:sz w:val="16"/>
                <w:szCs w:val="16"/>
              </w:rPr>
            </w:pPr>
            <w:r w:rsidRPr="00197D5F">
              <w:rPr>
                <w:b/>
                <w:sz w:val="16"/>
                <w:szCs w:val="16"/>
              </w:rPr>
              <w:t xml:space="preserve">24 </w:t>
            </w:r>
          </w:p>
        </w:tc>
        <w:tc>
          <w:tcPr>
            <w:tcW w:w="799" w:type="dxa"/>
            <w:tcBorders>
              <w:bottom w:val="single" w:sz="4" w:space="0" w:color="auto"/>
            </w:tcBorders>
            <w:shd w:val="clear" w:color="auto" w:fill="00FF99"/>
            <w:vAlign w:val="center"/>
          </w:tcPr>
          <w:p w14:paraId="426CA225" w14:textId="77777777" w:rsidR="00BA2AF4" w:rsidRPr="00197D5F" w:rsidRDefault="00BA2AF4" w:rsidP="00E87489">
            <w:pPr>
              <w:spacing w:line="360" w:lineRule="auto"/>
              <w:rPr>
                <w:b/>
                <w:sz w:val="16"/>
                <w:szCs w:val="16"/>
              </w:rPr>
            </w:pPr>
            <w:r w:rsidRPr="00197D5F">
              <w:rPr>
                <w:b/>
                <w:sz w:val="16"/>
                <w:szCs w:val="16"/>
              </w:rPr>
              <w:t xml:space="preserve">48 </w:t>
            </w:r>
          </w:p>
        </w:tc>
        <w:tc>
          <w:tcPr>
            <w:tcW w:w="798" w:type="dxa"/>
            <w:tcBorders>
              <w:bottom w:val="single" w:sz="4" w:space="0" w:color="auto"/>
            </w:tcBorders>
            <w:shd w:val="clear" w:color="auto" w:fill="00FF99"/>
            <w:vAlign w:val="center"/>
          </w:tcPr>
          <w:p w14:paraId="5C954B91" w14:textId="77777777" w:rsidR="00BA2AF4" w:rsidRPr="00197D5F" w:rsidRDefault="00BA2AF4" w:rsidP="00E87489">
            <w:pPr>
              <w:spacing w:line="360" w:lineRule="auto"/>
              <w:rPr>
                <w:b/>
                <w:sz w:val="16"/>
                <w:szCs w:val="16"/>
              </w:rPr>
            </w:pPr>
            <w:r w:rsidRPr="00197D5F">
              <w:rPr>
                <w:b/>
                <w:sz w:val="16"/>
                <w:szCs w:val="16"/>
              </w:rPr>
              <w:t xml:space="preserve">72 </w:t>
            </w:r>
          </w:p>
        </w:tc>
        <w:tc>
          <w:tcPr>
            <w:tcW w:w="760" w:type="dxa"/>
            <w:tcBorders>
              <w:bottom w:val="single" w:sz="4" w:space="0" w:color="auto"/>
            </w:tcBorders>
            <w:shd w:val="clear" w:color="auto" w:fill="00FF99"/>
            <w:vAlign w:val="center"/>
          </w:tcPr>
          <w:p w14:paraId="6680E99E" w14:textId="77777777" w:rsidR="00BA2AF4" w:rsidRPr="00197D5F" w:rsidRDefault="00BA2AF4" w:rsidP="00E87489">
            <w:pPr>
              <w:spacing w:line="360" w:lineRule="auto"/>
              <w:rPr>
                <w:b/>
                <w:sz w:val="16"/>
                <w:szCs w:val="16"/>
              </w:rPr>
            </w:pPr>
            <w:r w:rsidRPr="00197D5F">
              <w:rPr>
                <w:b/>
                <w:sz w:val="16"/>
                <w:szCs w:val="16"/>
              </w:rPr>
              <w:t xml:space="preserve">96 </w:t>
            </w:r>
          </w:p>
        </w:tc>
      </w:tr>
      <w:tr w:rsidR="00BA2AF4" w:rsidRPr="00197D5F" w14:paraId="2F77F8CD" w14:textId="77777777" w:rsidTr="00F51A88">
        <w:trPr>
          <w:trHeight w:val="267"/>
          <w:jc w:val="center"/>
        </w:trPr>
        <w:tc>
          <w:tcPr>
            <w:tcW w:w="522" w:type="dxa"/>
            <w:shd w:val="clear" w:color="auto" w:fill="00FF99"/>
            <w:vAlign w:val="bottom"/>
          </w:tcPr>
          <w:p w14:paraId="63C31942" w14:textId="77777777" w:rsidR="00BA2AF4" w:rsidRPr="00197D5F" w:rsidRDefault="008E6430" w:rsidP="00642684">
            <w:pPr>
              <w:spacing w:line="360" w:lineRule="auto"/>
              <w:ind w:firstLine="0"/>
              <w:jc w:val="left"/>
              <w:rPr>
                <w:b/>
                <w:sz w:val="12"/>
                <w:szCs w:val="12"/>
              </w:rPr>
            </w:pPr>
            <w:r>
              <w:rPr>
                <w:b/>
                <w:sz w:val="12"/>
                <w:szCs w:val="12"/>
              </w:rPr>
              <w:t xml:space="preserve">pH </w:t>
            </w:r>
            <w:r w:rsidR="00BA2AF4" w:rsidRPr="00197D5F">
              <w:rPr>
                <w:b/>
                <w:sz w:val="12"/>
                <w:szCs w:val="12"/>
              </w:rPr>
              <w:t>4</w:t>
            </w:r>
          </w:p>
        </w:tc>
        <w:tc>
          <w:tcPr>
            <w:tcW w:w="617" w:type="dxa"/>
          </w:tcPr>
          <w:p w14:paraId="4EACE8FE" w14:textId="77777777" w:rsidR="00BA2AF4" w:rsidRPr="00197D5F" w:rsidRDefault="003A4C0C" w:rsidP="00AC3749">
            <w:pPr>
              <w:spacing w:line="360" w:lineRule="auto"/>
              <w:rPr>
                <w:sz w:val="12"/>
                <w:szCs w:val="12"/>
              </w:rPr>
            </w:pPr>
            <m:oMathPara>
              <m:oMath>
                <m:sSup>
                  <m:sSupPr>
                    <m:ctrlPr>
                      <w:rPr>
                        <w:rFonts w:ascii="Cambria Math" w:hAnsi="Cambria Math"/>
                        <w:i/>
                        <w:sz w:val="12"/>
                        <w:szCs w:val="12"/>
                      </w:rPr>
                    </m:ctrlPr>
                  </m:sSupPr>
                  <m:e>
                    <m:r>
                      <w:rPr>
                        <w:rFonts w:ascii="Cambria Math" w:hAnsi="Cambria Math"/>
                        <w:sz w:val="12"/>
                        <w:szCs w:val="12"/>
                      </w:rPr>
                      <m:t>0±0,00</m:t>
                    </m:r>
                  </m:e>
                  <m:sup>
                    <m:r>
                      <w:rPr>
                        <w:rFonts w:ascii="Cambria Math" w:hAnsi="Cambria Math"/>
                        <w:sz w:val="12"/>
                        <w:szCs w:val="12"/>
                      </w:rPr>
                      <m:t>a</m:t>
                    </m:r>
                  </m:sup>
                </m:sSup>
              </m:oMath>
            </m:oMathPara>
          </w:p>
        </w:tc>
        <w:tc>
          <w:tcPr>
            <w:tcW w:w="793" w:type="dxa"/>
          </w:tcPr>
          <w:p w14:paraId="5A734751" w14:textId="77777777" w:rsidR="00BA2AF4" w:rsidRPr="00197D5F" w:rsidRDefault="003A4C0C" w:rsidP="00AC3749">
            <w:pPr>
              <w:spacing w:line="360" w:lineRule="auto"/>
              <w:rPr>
                <w:b/>
                <w:sz w:val="12"/>
                <w:szCs w:val="12"/>
              </w:rPr>
            </w:pPr>
            <m:oMathPara>
              <m:oMath>
                <m:sSup>
                  <m:sSupPr>
                    <m:ctrlPr>
                      <w:rPr>
                        <w:rFonts w:ascii="Cambria Math" w:hAnsi="Cambria Math"/>
                        <w:i/>
                        <w:sz w:val="12"/>
                        <w:szCs w:val="12"/>
                      </w:rPr>
                    </m:ctrlPr>
                  </m:sSupPr>
                  <m:e>
                    <m:r>
                      <w:rPr>
                        <w:rFonts w:ascii="Cambria Math" w:hAnsi="Cambria Math"/>
                        <w:sz w:val="12"/>
                        <w:szCs w:val="12"/>
                      </w:rPr>
                      <m:t>1,2±0,10</m:t>
                    </m:r>
                  </m:e>
                  <m:sup>
                    <m:r>
                      <w:rPr>
                        <w:rFonts w:ascii="Cambria Math" w:hAnsi="Cambria Math"/>
                        <w:sz w:val="12"/>
                        <w:szCs w:val="12"/>
                      </w:rPr>
                      <m:t>d</m:t>
                    </m:r>
                  </m:sup>
                </m:sSup>
              </m:oMath>
            </m:oMathPara>
          </w:p>
        </w:tc>
        <w:tc>
          <w:tcPr>
            <w:tcW w:w="799" w:type="dxa"/>
          </w:tcPr>
          <w:p w14:paraId="1383CF9C" w14:textId="77777777" w:rsidR="00BA2AF4" w:rsidRPr="00197D5F" w:rsidRDefault="003A4C0C" w:rsidP="00AC3749">
            <w:pPr>
              <w:spacing w:line="360" w:lineRule="auto"/>
              <w:rPr>
                <w:b/>
                <w:sz w:val="12"/>
                <w:szCs w:val="12"/>
              </w:rPr>
            </w:pPr>
            <m:oMathPara>
              <m:oMath>
                <m:sSup>
                  <m:sSupPr>
                    <m:ctrlPr>
                      <w:rPr>
                        <w:rFonts w:ascii="Cambria Math" w:hAnsi="Cambria Math"/>
                        <w:i/>
                        <w:sz w:val="12"/>
                        <w:szCs w:val="12"/>
                      </w:rPr>
                    </m:ctrlPr>
                  </m:sSupPr>
                  <m:e>
                    <m:r>
                      <w:rPr>
                        <w:rFonts w:ascii="Cambria Math" w:hAnsi="Cambria Math"/>
                        <w:sz w:val="12"/>
                        <w:szCs w:val="12"/>
                      </w:rPr>
                      <m:t>1,6±0,06</m:t>
                    </m:r>
                  </m:e>
                  <m:sup>
                    <m:r>
                      <w:rPr>
                        <w:rFonts w:ascii="Cambria Math" w:hAnsi="Cambria Math"/>
                        <w:sz w:val="12"/>
                        <w:szCs w:val="12"/>
                      </w:rPr>
                      <m:t>e</m:t>
                    </m:r>
                  </m:sup>
                </m:sSup>
              </m:oMath>
            </m:oMathPara>
          </w:p>
        </w:tc>
        <w:tc>
          <w:tcPr>
            <w:tcW w:w="798" w:type="dxa"/>
          </w:tcPr>
          <w:p w14:paraId="42C05DB4" w14:textId="77777777" w:rsidR="00BA2AF4" w:rsidRPr="00197D5F" w:rsidRDefault="003A4C0C" w:rsidP="00AC3749">
            <w:pPr>
              <w:spacing w:line="360" w:lineRule="auto"/>
              <w:rPr>
                <w:b/>
                <w:sz w:val="12"/>
                <w:szCs w:val="12"/>
              </w:rPr>
            </w:pPr>
            <m:oMathPara>
              <m:oMath>
                <m:sSup>
                  <m:sSupPr>
                    <m:ctrlPr>
                      <w:rPr>
                        <w:rFonts w:ascii="Cambria Math" w:hAnsi="Cambria Math"/>
                        <w:i/>
                        <w:sz w:val="12"/>
                        <w:szCs w:val="12"/>
                      </w:rPr>
                    </m:ctrlPr>
                  </m:sSupPr>
                  <m:e>
                    <m:r>
                      <w:rPr>
                        <w:rFonts w:ascii="Cambria Math" w:hAnsi="Cambria Math"/>
                        <w:sz w:val="12"/>
                        <w:szCs w:val="12"/>
                      </w:rPr>
                      <m:t>3,2±0,06</m:t>
                    </m:r>
                  </m:e>
                  <m:sup>
                    <m:r>
                      <w:rPr>
                        <w:rFonts w:ascii="Cambria Math" w:hAnsi="Cambria Math"/>
                        <w:sz w:val="12"/>
                        <w:szCs w:val="12"/>
                      </w:rPr>
                      <m:t>d</m:t>
                    </m:r>
                  </m:sup>
                </m:sSup>
              </m:oMath>
            </m:oMathPara>
          </w:p>
        </w:tc>
        <w:tc>
          <w:tcPr>
            <w:tcW w:w="760" w:type="dxa"/>
          </w:tcPr>
          <w:p w14:paraId="68D7878C" w14:textId="77777777" w:rsidR="00BA2AF4" w:rsidRPr="00197D5F" w:rsidRDefault="003A4C0C" w:rsidP="00AC3749">
            <w:pPr>
              <w:spacing w:line="360" w:lineRule="auto"/>
              <w:rPr>
                <w:b/>
                <w:sz w:val="12"/>
                <w:szCs w:val="12"/>
              </w:rPr>
            </w:pPr>
            <m:oMathPara>
              <m:oMath>
                <m:sSup>
                  <m:sSupPr>
                    <m:ctrlPr>
                      <w:rPr>
                        <w:rFonts w:ascii="Cambria Math" w:hAnsi="Cambria Math"/>
                        <w:i/>
                        <w:sz w:val="12"/>
                        <w:szCs w:val="12"/>
                      </w:rPr>
                    </m:ctrlPr>
                  </m:sSupPr>
                  <m:e>
                    <m:r>
                      <w:rPr>
                        <w:rFonts w:ascii="Cambria Math" w:hAnsi="Cambria Math"/>
                        <w:sz w:val="12"/>
                        <w:szCs w:val="12"/>
                      </w:rPr>
                      <m:t>4,6±0,10</m:t>
                    </m:r>
                  </m:e>
                  <m:sup>
                    <m:r>
                      <w:rPr>
                        <w:rFonts w:ascii="Cambria Math" w:hAnsi="Cambria Math"/>
                        <w:sz w:val="12"/>
                        <w:szCs w:val="12"/>
                      </w:rPr>
                      <m:t>d</m:t>
                    </m:r>
                  </m:sup>
                </m:sSup>
              </m:oMath>
            </m:oMathPara>
          </w:p>
        </w:tc>
      </w:tr>
      <w:tr w:rsidR="00BA2AF4" w:rsidRPr="00197D5F" w14:paraId="575DE11C" w14:textId="77777777" w:rsidTr="00F51A88">
        <w:trPr>
          <w:trHeight w:val="267"/>
          <w:jc w:val="center"/>
        </w:trPr>
        <w:tc>
          <w:tcPr>
            <w:tcW w:w="522" w:type="dxa"/>
            <w:shd w:val="clear" w:color="auto" w:fill="00FF99"/>
            <w:vAlign w:val="bottom"/>
          </w:tcPr>
          <w:p w14:paraId="28909C60" w14:textId="77777777" w:rsidR="00BA2AF4" w:rsidRPr="00197D5F" w:rsidRDefault="00BA2AF4" w:rsidP="008E6430">
            <w:pPr>
              <w:spacing w:line="360" w:lineRule="auto"/>
              <w:ind w:firstLine="0"/>
              <w:jc w:val="left"/>
              <w:rPr>
                <w:b/>
                <w:sz w:val="12"/>
                <w:szCs w:val="12"/>
              </w:rPr>
            </w:pPr>
            <w:r w:rsidRPr="00197D5F">
              <w:rPr>
                <w:b/>
                <w:sz w:val="12"/>
                <w:szCs w:val="12"/>
              </w:rPr>
              <w:t>pH</w:t>
            </w:r>
            <w:r w:rsidR="008E6430">
              <w:rPr>
                <w:b/>
                <w:sz w:val="12"/>
                <w:szCs w:val="12"/>
              </w:rPr>
              <w:t xml:space="preserve"> </w:t>
            </w:r>
            <w:r w:rsidRPr="00197D5F">
              <w:rPr>
                <w:b/>
                <w:sz w:val="12"/>
                <w:szCs w:val="12"/>
              </w:rPr>
              <w:t>4,5</w:t>
            </w:r>
          </w:p>
        </w:tc>
        <w:tc>
          <w:tcPr>
            <w:tcW w:w="617" w:type="dxa"/>
          </w:tcPr>
          <w:p w14:paraId="4ECBE8CA" w14:textId="77777777" w:rsidR="00BA2AF4" w:rsidRPr="00197D5F" w:rsidRDefault="003A4C0C" w:rsidP="00AC3749">
            <w:pPr>
              <w:tabs>
                <w:tab w:val="left" w:pos="217"/>
                <w:tab w:val="center" w:pos="459"/>
              </w:tabs>
              <w:spacing w:line="360" w:lineRule="auto"/>
              <w:rPr>
                <w:color w:val="000000"/>
                <w:sz w:val="12"/>
                <w:szCs w:val="12"/>
              </w:rPr>
            </w:pPr>
            <m:oMathPara>
              <m:oMath>
                <m:sSup>
                  <m:sSupPr>
                    <m:ctrlPr>
                      <w:rPr>
                        <w:rFonts w:ascii="Cambria Math" w:hAnsi="Cambria Math"/>
                        <w:i/>
                        <w:sz w:val="12"/>
                        <w:szCs w:val="12"/>
                      </w:rPr>
                    </m:ctrlPr>
                  </m:sSupPr>
                  <m:e>
                    <m:r>
                      <w:rPr>
                        <w:rFonts w:ascii="Cambria Math" w:hAnsi="Cambria Math"/>
                        <w:sz w:val="12"/>
                        <w:szCs w:val="12"/>
                      </w:rPr>
                      <m:t>0±0,00</m:t>
                    </m:r>
                  </m:e>
                  <m:sup>
                    <m:r>
                      <w:rPr>
                        <w:rFonts w:ascii="Cambria Math" w:hAnsi="Cambria Math"/>
                        <w:sz w:val="12"/>
                        <w:szCs w:val="12"/>
                      </w:rPr>
                      <m:t>a</m:t>
                    </m:r>
                  </m:sup>
                </m:sSup>
              </m:oMath>
            </m:oMathPara>
          </w:p>
        </w:tc>
        <w:tc>
          <w:tcPr>
            <w:tcW w:w="793" w:type="dxa"/>
          </w:tcPr>
          <w:p w14:paraId="7FAE6605" w14:textId="77777777" w:rsidR="00BA2AF4" w:rsidRPr="00197D5F" w:rsidRDefault="003A4C0C" w:rsidP="00AC3749">
            <w:pPr>
              <w:spacing w:line="360" w:lineRule="auto"/>
              <w:rPr>
                <w:color w:val="000000"/>
                <w:sz w:val="12"/>
                <w:szCs w:val="12"/>
              </w:rPr>
            </w:pPr>
            <m:oMathPara>
              <m:oMath>
                <m:sSup>
                  <m:sSupPr>
                    <m:ctrlPr>
                      <w:rPr>
                        <w:rFonts w:ascii="Cambria Math" w:hAnsi="Cambria Math"/>
                        <w:i/>
                        <w:sz w:val="12"/>
                        <w:szCs w:val="12"/>
                      </w:rPr>
                    </m:ctrlPr>
                  </m:sSupPr>
                  <m:e>
                    <m:r>
                      <w:rPr>
                        <w:rFonts w:ascii="Cambria Math" w:hAnsi="Cambria Math"/>
                        <w:sz w:val="12"/>
                        <w:szCs w:val="12"/>
                      </w:rPr>
                      <m:t>3,2±0,10</m:t>
                    </m:r>
                  </m:e>
                  <m:sup>
                    <m:r>
                      <w:rPr>
                        <w:rFonts w:ascii="Cambria Math" w:hAnsi="Cambria Math"/>
                        <w:sz w:val="12"/>
                        <w:szCs w:val="12"/>
                      </w:rPr>
                      <m:t>a</m:t>
                    </m:r>
                  </m:sup>
                </m:sSup>
              </m:oMath>
            </m:oMathPara>
          </w:p>
        </w:tc>
        <w:tc>
          <w:tcPr>
            <w:tcW w:w="799" w:type="dxa"/>
          </w:tcPr>
          <w:p w14:paraId="608CC972" w14:textId="77777777" w:rsidR="00BA2AF4" w:rsidRPr="00197D5F" w:rsidRDefault="003A4C0C" w:rsidP="00AC3749">
            <w:pPr>
              <w:spacing w:line="360" w:lineRule="auto"/>
              <w:rPr>
                <w:color w:val="000000"/>
                <w:sz w:val="12"/>
                <w:szCs w:val="12"/>
              </w:rPr>
            </w:pPr>
            <m:oMathPara>
              <m:oMath>
                <m:sSup>
                  <m:sSupPr>
                    <m:ctrlPr>
                      <w:rPr>
                        <w:rFonts w:ascii="Cambria Math" w:hAnsi="Cambria Math"/>
                        <w:i/>
                        <w:sz w:val="12"/>
                        <w:szCs w:val="12"/>
                      </w:rPr>
                    </m:ctrlPr>
                  </m:sSupPr>
                  <m:e>
                    <m:r>
                      <w:rPr>
                        <w:rFonts w:ascii="Cambria Math" w:hAnsi="Cambria Math"/>
                        <w:sz w:val="12"/>
                        <w:szCs w:val="12"/>
                      </w:rPr>
                      <m:t>6,4±0,00</m:t>
                    </m:r>
                  </m:e>
                  <m:sup>
                    <m:r>
                      <w:rPr>
                        <w:rFonts w:ascii="Cambria Math" w:hAnsi="Cambria Math"/>
                        <w:sz w:val="12"/>
                        <w:szCs w:val="12"/>
                      </w:rPr>
                      <m:t>d</m:t>
                    </m:r>
                  </m:sup>
                </m:sSup>
              </m:oMath>
            </m:oMathPara>
          </w:p>
        </w:tc>
        <w:tc>
          <w:tcPr>
            <w:tcW w:w="798" w:type="dxa"/>
          </w:tcPr>
          <w:p w14:paraId="14190F88" w14:textId="77777777" w:rsidR="00BA2AF4" w:rsidRPr="00197D5F" w:rsidRDefault="003A4C0C" w:rsidP="00AC3749">
            <w:pPr>
              <w:spacing w:line="360" w:lineRule="auto"/>
              <w:rPr>
                <w:color w:val="000000"/>
                <w:sz w:val="12"/>
                <w:szCs w:val="12"/>
              </w:rPr>
            </w:pPr>
            <m:oMathPara>
              <m:oMath>
                <m:sSup>
                  <m:sSupPr>
                    <m:ctrlPr>
                      <w:rPr>
                        <w:rFonts w:ascii="Cambria Math" w:hAnsi="Cambria Math"/>
                        <w:i/>
                        <w:sz w:val="12"/>
                        <w:szCs w:val="12"/>
                      </w:rPr>
                    </m:ctrlPr>
                  </m:sSupPr>
                  <m:e>
                    <m:r>
                      <w:rPr>
                        <w:rFonts w:ascii="Cambria Math" w:hAnsi="Cambria Math"/>
                        <w:sz w:val="12"/>
                        <w:szCs w:val="12"/>
                      </w:rPr>
                      <m:t>7,8±0,06</m:t>
                    </m:r>
                  </m:e>
                  <m:sup>
                    <m:r>
                      <w:rPr>
                        <w:rFonts w:ascii="Cambria Math" w:hAnsi="Cambria Math"/>
                        <w:sz w:val="12"/>
                        <w:szCs w:val="12"/>
                      </w:rPr>
                      <m:t>a</m:t>
                    </m:r>
                  </m:sup>
                </m:sSup>
              </m:oMath>
            </m:oMathPara>
          </w:p>
        </w:tc>
        <w:tc>
          <w:tcPr>
            <w:tcW w:w="760" w:type="dxa"/>
          </w:tcPr>
          <w:p w14:paraId="20758436" w14:textId="77777777" w:rsidR="00BA2AF4" w:rsidRPr="00197D5F" w:rsidRDefault="003A4C0C" w:rsidP="00AC3749">
            <w:pPr>
              <w:spacing w:line="360" w:lineRule="auto"/>
              <w:rPr>
                <w:b/>
                <w:bCs/>
                <w:color w:val="000000"/>
                <w:sz w:val="12"/>
                <w:szCs w:val="12"/>
              </w:rPr>
            </w:pPr>
            <m:oMathPara>
              <m:oMath>
                <m:sSup>
                  <m:sSupPr>
                    <m:ctrlPr>
                      <w:rPr>
                        <w:rFonts w:ascii="Cambria Math" w:hAnsi="Cambria Math"/>
                        <w:i/>
                        <w:sz w:val="12"/>
                        <w:szCs w:val="12"/>
                      </w:rPr>
                    </m:ctrlPr>
                  </m:sSupPr>
                  <m:e>
                    <m:r>
                      <w:rPr>
                        <w:rFonts w:ascii="Cambria Math" w:hAnsi="Cambria Math"/>
                        <w:sz w:val="12"/>
                        <w:szCs w:val="12"/>
                      </w:rPr>
                      <m:t>8,2±0,01</m:t>
                    </m:r>
                  </m:e>
                  <m:sup>
                    <m:r>
                      <w:rPr>
                        <w:rFonts w:ascii="Cambria Math" w:hAnsi="Cambria Math"/>
                        <w:sz w:val="12"/>
                        <w:szCs w:val="12"/>
                      </w:rPr>
                      <m:t>a</m:t>
                    </m:r>
                  </m:sup>
                </m:sSup>
              </m:oMath>
            </m:oMathPara>
          </w:p>
        </w:tc>
      </w:tr>
      <w:tr w:rsidR="00BA2AF4" w:rsidRPr="00197D5F" w14:paraId="7465ED89" w14:textId="77777777" w:rsidTr="00F51A88">
        <w:trPr>
          <w:trHeight w:val="267"/>
          <w:jc w:val="center"/>
        </w:trPr>
        <w:tc>
          <w:tcPr>
            <w:tcW w:w="522" w:type="dxa"/>
            <w:shd w:val="clear" w:color="auto" w:fill="00FF99"/>
            <w:vAlign w:val="bottom"/>
          </w:tcPr>
          <w:p w14:paraId="4791D2AD" w14:textId="77777777" w:rsidR="00BA2AF4" w:rsidRPr="00197D5F" w:rsidRDefault="008E6430" w:rsidP="00642684">
            <w:pPr>
              <w:spacing w:line="360" w:lineRule="auto"/>
              <w:ind w:firstLine="0"/>
              <w:jc w:val="left"/>
              <w:rPr>
                <w:b/>
                <w:sz w:val="12"/>
                <w:szCs w:val="12"/>
              </w:rPr>
            </w:pPr>
            <w:r>
              <w:rPr>
                <w:b/>
                <w:sz w:val="12"/>
                <w:szCs w:val="12"/>
              </w:rPr>
              <w:t xml:space="preserve">pH </w:t>
            </w:r>
            <w:r w:rsidR="00BA2AF4" w:rsidRPr="00197D5F">
              <w:rPr>
                <w:b/>
                <w:sz w:val="12"/>
                <w:szCs w:val="12"/>
              </w:rPr>
              <w:t>5</w:t>
            </w:r>
          </w:p>
        </w:tc>
        <w:tc>
          <w:tcPr>
            <w:tcW w:w="617" w:type="dxa"/>
          </w:tcPr>
          <w:p w14:paraId="404C1914" w14:textId="77777777" w:rsidR="00BA2AF4" w:rsidRPr="00197D5F" w:rsidRDefault="003A4C0C" w:rsidP="00AC3749">
            <w:pPr>
              <w:spacing w:line="360" w:lineRule="auto"/>
              <w:rPr>
                <w:sz w:val="12"/>
                <w:szCs w:val="12"/>
              </w:rPr>
            </w:pPr>
            <m:oMathPara>
              <m:oMath>
                <m:sSup>
                  <m:sSupPr>
                    <m:ctrlPr>
                      <w:rPr>
                        <w:rFonts w:ascii="Cambria Math" w:hAnsi="Cambria Math"/>
                        <w:i/>
                        <w:sz w:val="12"/>
                        <w:szCs w:val="12"/>
                      </w:rPr>
                    </m:ctrlPr>
                  </m:sSupPr>
                  <m:e>
                    <m:r>
                      <w:rPr>
                        <w:rFonts w:ascii="Cambria Math" w:hAnsi="Cambria Math"/>
                        <w:sz w:val="12"/>
                        <w:szCs w:val="12"/>
                      </w:rPr>
                      <m:t>0±0,00</m:t>
                    </m:r>
                  </m:e>
                  <m:sup>
                    <m:r>
                      <w:rPr>
                        <w:rFonts w:ascii="Cambria Math" w:hAnsi="Cambria Math"/>
                        <w:sz w:val="12"/>
                        <w:szCs w:val="12"/>
                      </w:rPr>
                      <m:t>a</m:t>
                    </m:r>
                  </m:sup>
                </m:sSup>
              </m:oMath>
            </m:oMathPara>
          </w:p>
        </w:tc>
        <w:tc>
          <w:tcPr>
            <w:tcW w:w="793" w:type="dxa"/>
          </w:tcPr>
          <w:p w14:paraId="426AF320" w14:textId="77777777" w:rsidR="00BA2AF4" w:rsidRPr="00197D5F" w:rsidRDefault="003A4C0C" w:rsidP="00AC3749">
            <w:pPr>
              <w:spacing w:line="360" w:lineRule="auto"/>
              <w:rPr>
                <w:sz w:val="12"/>
                <w:szCs w:val="12"/>
              </w:rPr>
            </w:pPr>
            <m:oMathPara>
              <m:oMath>
                <m:sSup>
                  <m:sSupPr>
                    <m:ctrlPr>
                      <w:rPr>
                        <w:rFonts w:ascii="Cambria Math" w:hAnsi="Cambria Math"/>
                        <w:i/>
                        <w:sz w:val="12"/>
                        <w:szCs w:val="12"/>
                      </w:rPr>
                    </m:ctrlPr>
                  </m:sSupPr>
                  <m:e>
                    <m:r>
                      <w:rPr>
                        <w:rFonts w:ascii="Cambria Math" w:hAnsi="Cambria Math"/>
                        <w:sz w:val="12"/>
                        <w:szCs w:val="12"/>
                      </w:rPr>
                      <m:t>2,7±0,06</m:t>
                    </m:r>
                  </m:e>
                  <m:sup>
                    <m:r>
                      <w:rPr>
                        <w:rFonts w:ascii="Cambria Math" w:hAnsi="Cambria Math"/>
                        <w:sz w:val="12"/>
                        <w:szCs w:val="12"/>
                      </w:rPr>
                      <m:t>c</m:t>
                    </m:r>
                  </m:sup>
                </m:sSup>
              </m:oMath>
            </m:oMathPara>
          </w:p>
        </w:tc>
        <w:tc>
          <w:tcPr>
            <w:tcW w:w="799" w:type="dxa"/>
          </w:tcPr>
          <w:p w14:paraId="1BFDEAD1" w14:textId="77777777" w:rsidR="00BA2AF4" w:rsidRPr="00197D5F" w:rsidRDefault="003A4C0C" w:rsidP="00AC3749">
            <w:pPr>
              <w:spacing w:line="360" w:lineRule="auto"/>
              <w:rPr>
                <w:sz w:val="12"/>
                <w:szCs w:val="12"/>
              </w:rPr>
            </w:pPr>
            <m:oMathPara>
              <m:oMath>
                <m:sSup>
                  <m:sSupPr>
                    <m:ctrlPr>
                      <w:rPr>
                        <w:rFonts w:ascii="Cambria Math" w:hAnsi="Cambria Math"/>
                        <w:i/>
                        <w:sz w:val="12"/>
                        <w:szCs w:val="12"/>
                      </w:rPr>
                    </m:ctrlPr>
                  </m:sSupPr>
                  <m:e>
                    <m:r>
                      <w:rPr>
                        <w:rFonts w:ascii="Cambria Math" w:hAnsi="Cambria Math"/>
                        <w:sz w:val="12"/>
                        <w:szCs w:val="12"/>
                      </w:rPr>
                      <m:t>4,8±0,10</m:t>
                    </m:r>
                  </m:e>
                  <m:sup>
                    <m:r>
                      <w:rPr>
                        <w:rFonts w:ascii="Cambria Math" w:hAnsi="Cambria Math"/>
                        <w:sz w:val="12"/>
                        <w:szCs w:val="12"/>
                      </w:rPr>
                      <m:t>c</m:t>
                    </m:r>
                  </m:sup>
                </m:sSup>
              </m:oMath>
            </m:oMathPara>
          </w:p>
        </w:tc>
        <w:tc>
          <w:tcPr>
            <w:tcW w:w="798" w:type="dxa"/>
          </w:tcPr>
          <w:p w14:paraId="772625BF" w14:textId="77777777" w:rsidR="00BA2AF4" w:rsidRPr="00197D5F" w:rsidRDefault="003A4C0C" w:rsidP="00AC3749">
            <w:pPr>
              <w:spacing w:line="360" w:lineRule="auto"/>
              <w:rPr>
                <w:b/>
                <w:sz w:val="12"/>
                <w:szCs w:val="12"/>
              </w:rPr>
            </w:pPr>
            <m:oMathPara>
              <m:oMath>
                <m:sSup>
                  <m:sSupPr>
                    <m:ctrlPr>
                      <w:rPr>
                        <w:rFonts w:ascii="Cambria Math" w:hAnsi="Cambria Math"/>
                        <w:i/>
                        <w:sz w:val="12"/>
                        <w:szCs w:val="12"/>
                      </w:rPr>
                    </m:ctrlPr>
                  </m:sSupPr>
                  <m:e>
                    <m:r>
                      <w:rPr>
                        <w:rFonts w:ascii="Cambria Math" w:hAnsi="Cambria Math"/>
                        <w:sz w:val="12"/>
                        <w:szCs w:val="12"/>
                      </w:rPr>
                      <m:t>6,2±0,10</m:t>
                    </m:r>
                  </m:e>
                  <m:sup>
                    <m:r>
                      <w:rPr>
                        <w:rFonts w:ascii="Cambria Math" w:hAnsi="Cambria Math"/>
                        <w:sz w:val="12"/>
                        <w:szCs w:val="12"/>
                      </w:rPr>
                      <m:t>c</m:t>
                    </m:r>
                  </m:sup>
                </m:sSup>
              </m:oMath>
            </m:oMathPara>
          </w:p>
        </w:tc>
        <w:tc>
          <w:tcPr>
            <w:tcW w:w="760" w:type="dxa"/>
          </w:tcPr>
          <w:p w14:paraId="0D82F7B7" w14:textId="77777777" w:rsidR="00BA2AF4" w:rsidRPr="00197D5F" w:rsidRDefault="003A4C0C" w:rsidP="00AC3749">
            <w:pPr>
              <w:spacing w:line="360" w:lineRule="auto"/>
              <w:rPr>
                <w:b/>
                <w:sz w:val="12"/>
                <w:szCs w:val="12"/>
              </w:rPr>
            </w:pPr>
            <m:oMathPara>
              <m:oMath>
                <m:sSup>
                  <m:sSupPr>
                    <m:ctrlPr>
                      <w:rPr>
                        <w:rFonts w:ascii="Cambria Math" w:hAnsi="Cambria Math"/>
                        <w:i/>
                        <w:sz w:val="12"/>
                        <w:szCs w:val="12"/>
                      </w:rPr>
                    </m:ctrlPr>
                  </m:sSupPr>
                  <m:e>
                    <m:r>
                      <w:rPr>
                        <w:rFonts w:ascii="Cambria Math" w:hAnsi="Cambria Math"/>
                        <w:sz w:val="12"/>
                        <w:szCs w:val="12"/>
                      </w:rPr>
                      <m:t>6,9±0,06</m:t>
                    </m:r>
                  </m:e>
                  <m:sup>
                    <m:r>
                      <w:rPr>
                        <w:rFonts w:ascii="Cambria Math" w:hAnsi="Cambria Math"/>
                        <w:sz w:val="12"/>
                        <w:szCs w:val="12"/>
                      </w:rPr>
                      <m:t>c</m:t>
                    </m:r>
                  </m:sup>
                </m:sSup>
              </m:oMath>
            </m:oMathPara>
          </w:p>
        </w:tc>
      </w:tr>
      <w:tr w:rsidR="00BA2AF4" w:rsidRPr="00197D5F" w14:paraId="5458C93F" w14:textId="77777777" w:rsidTr="00F51A88">
        <w:trPr>
          <w:trHeight w:val="267"/>
          <w:jc w:val="center"/>
        </w:trPr>
        <w:tc>
          <w:tcPr>
            <w:tcW w:w="522" w:type="dxa"/>
            <w:shd w:val="clear" w:color="auto" w:fill="00FF99"/>
            <w:vAlign w:val="bottom"/>
          </w:tcPr>
          <w:p w14:paraId="05569A9B" w14:textId="77777777" w:rsidR="00BA2AF4" w:rsidRPr="00197D5F" w:rsidRDefault="008E6430" w:rsidP="00642684">
            <w:pPr>
              <w:spacing w:line="360" w:lineRule="auto"/>
              <w:ind w:firstLine="0"/>
              <w:jc w:val="left"/>
              <w:rPr>
                <w:b/>
                <w:sz w:val="12"/>
                <w:szCs w:val="12"/>
              </w:rPr>
            </w:pPr>
            <w:r>
              <w:rPr>
                <w:b/>
                <w:sz w:val="12"/>
                <w:szCs w:val="12"/>
              </w:rPr>
              <w:t xml:space="preserve">pH </w:t>
            </w:r>
            <w:r w:rsidR="00BA2AF4" w:rsidRPr="00197D5F">
              <w:rPr>
                <w:b/>
                <w:sz w:val="12"/>
                <w:szCs w:val="12"/>
              </w:rPr>
              <w:t>5,5</w:t>
            </w:r>
          </w:p>
        </w:tc>
        <w:tc>
          <w:tcPr>
            <w:tcW w:w="617" w:type="dxa"/>
          </w:tcPr>
          <w:p w14:paraId="6675ED45" w14:textId="77777777" w:rsidR="00BA2AF4" w:rsidRPr="00197D5F" w:rsidRDefault="003A4C0C" w:rsidP="00AC3749">
            <w:pPr>
              <w:spacing w:line="360" w:lineRule="auto"/>
              <w:rPr>
                <w:sz w:val="12"/>
                <w:szCs w:val="12"/>
              </w:rPr>
            </w:pPr>
            <m:oMathPara>
              <m:oMath>
                <m:sSup>
                  <m:sSupPr>
                    <m:ctrlPr>
                      <w:rPr>
                        <w:rFonts w:ascii="Cambria Math" w:hAnsi="Cambria Math"/>
                        <w:i/>
                        <w:sz w:val="12"/>
                        <w:szCs w:val="12"/>
                      </w:rPr>
                    </m:ctrlPr>
                  </m:sSupPr>
                  <m:e>
                    <m:r>
                      <w:rPr>
                        <w:rFonts w:ascii="Cambria Math" w:hAnsi="Cambria Math"/>
                        <w:sz w:val="12"/>
                        <w:szCs w:val="12"/>
                      </w:rPr>
                      <m:t>0±0,00</m:t>
                    </m:r>
                  </m:e>
                  <m:sup>
                    <m:r>
                      <w:rPr>
                        <w:rFonts w:ascii="Cambria Math" w:hAnsi="Cambria Math"/>
                        <w:sz w:val="12"/>
                        <w:szCs w:val="12"/>
                      </w:rPr>
                      <m:t>a</m:t>
                    </m:r>
                  </m:sup>
                </m:sSup>
              </m:oMath>
            </m:oMathPara>
          </w:p>
        </w:tc>
        <w:tc>
          <w:tcPr>
            <w:tcW w:w="793" w:type="dxa"/>
          </w:tcPr>
          <w:p w14:paraId="551C5C69" w14:textId="77777777" w:rsidR="00BA2AF4" w:rsidRPr="00197D5F" w:rsidRDefault="003A4C0C" w:rsidP="00AC3749">
            <w:pPr>
              <w:spacing w:line="360" w:lineRule="auto"/>
              <w:rPr>
                <w:sz w:val="12"/>
                <w:szCs w:val="12"/>
              </w:rPr>
            </w:pPr>
            <m:oMathPara>
              <m:oMath>
                <m:sSup>
                  <m:sSupPr>
                    <m:ctrlPr>
                      <w:rPr>
                        <w:rFonts w:ascii="Cambria Math" w:hAnsi="Cambria Math"/>
                        <w:i/>
                        <w:sz w:val="12"/>
                        <w:szCs w:val="12"/>
                      </w:rPr>
                    </m:ctrlPr>
                  </m:sSupPr>
                  <m:e>
                    <m:r>
                      <w:rPr>
                        <w:rFonts w:ascii="Cambria Math" w:hAnsi="Cambria Math"/>
                        <w:sz w:val="12"/>
                        <w:szCs w:val="12"/>
                      </w:rPr>
                      <m:t>1,2±0,00</m:t>
                    </m:r>
                  </m:e>
                  <m:sup>
                    <m:r>
                      <w:rPr>
                        <w:rFonts w:ascii="Cambria Math" w:hAnsi="Cambria Math"/>
                        <w:sz w:val="12"/>
                        <w:szCs w:val="12"/>
                      </w:rPr>
                      <m:t>d</m:t>
                    </m:r>
                  </m:sup>
                </m:sSup>
              </m:oMath>
            </m:oMathPara>
          </w:p>
        </w:tc>
        <w:tc>
          <w:tcPr>
            <w:tcW w:w="799" w:type="dxa"/>
          </w:tcPr>
          <w:p w14:paraId="3C121B03" w14:textId="77777777" w:rsidR="00BA2AF4" w:rsidRPr="00197D5F" w:rsidRDefault="003A4C0C" w:rsidP="00AC3749">
            <w:pPr>
              <w:spacing w:line="360" w:lineRule="auto"/>
              <w:rPr>
                <w:sz w:val="12"/>
                <w:szCs w:val="12"/>
              </w:rPr>
            </w:pPr>
            <m:oMathPara>
              <m:oMath>
                <m:sSup>
                  <m:sSupPr>
                    <m:ctrlPr>
                      <w:rPr>
                        <w:rFonts w:ascii="Cambria Math" w:hAnsi="Cambria Math"/>
                        <w:i/>
                        <w:sz w:val="12"/>
                        <w:szCs w:val="12"/>
                      </w:rPr>
                    </m:ctrlPr>
                  </m:sSupPr>
                  <m:e>
                    <m:r>
                      <w:rPr>
                        <w:rFonts w:ascii="Cambria Math" w:hAnsi="Cambria Math"/>
                        <w:sz w:val="12"/>
                        <w:szCs w:val="12"/>
                      </w:rPr>
                      <m:t>1,2±0,10</m:t>
                    </m:r>
                  </m:e>
                  <m:sup>
                    <m:r>
                      <w:rPr>
                        <w:rFonts w:ascii="Cambria Math" w:hAnsi="Cambria Math"/>
                        <w:sz w:val="12"/>
                        <w:szCs w:val="12"/>
                      </w:rPr>
                      <m:t>f</m:t>
                    </m:r>
                  </m:sup>
                </m:sSup>
              </m:oMath>
            </m:oMathPara>
          </w:p>
        </w:tc>
        <w:tc>
          <w:tcPr>
            <w:tcW w:w="798" w:type="dxa"/>
          </w:tcPr>
          <w:p w14:paraId="1DA30707" w14:textId="77777777" w:rsidR="00BA2AF4" w:rsidRPr="00197D5F" w:rsidRDefault="003A4C0C" w:rsidP="00AC3749">
            <w:pPr>
              <w:spacing w:line="360" w:lineRule="auto"/>
              <w:rPr>
                <w:sz w:val="12"/>
                <w:szCs w:val="12"/>
              </w:rPr>
            </w:pPr>
            <m:oMathPara>
              <m:oMath>
                <m:sSup>
                  <m:sSupPr>
                    <m:ctrlPr>
                      <w:rPr>
                        <w:rFonts w:ascii="Cambria Math" w:hAnsi="Cambria Math"/>
                        <w:i/>
                        <w:sz w:val="12"/>
                        <w:szCs w:val="12"/>
                      </w:rPr>
                    </m:ctrlPr>
                  </m:sSupPr>
                  <m:e>
                    <m:r>
                      <w:rPr>
                        <w:rFonts w:ascii="Cambria Math" w:hAnsi="Cambria Math"/>
                        <w:sz w:val="12"/>
                        <w:szCs w:val="12"/>
                      </w:rPr>
                      <m:t>1,3±0,06</m:t>
                    </m:r>
                  </m:e>
                  <m:sup>
                    <m:r>
                      <w:rPr>
                        <w:rFonts w:ascii="Cambria Math" w:hAnsi="Cambria Math"/>
                        <w:sz w:val="12"/>
                        <w:szCs w:val="12"/>
                      </w:rPr>
                      <m:t>f</m:t>
                    </m:r>
                  </m:sup>
                </m:sSup>
              </m:oMath>
            </m:oMathPara>
          </w:p>
        </w:tc>
        <w:tc>
          <w:tcPr>
            <w:tcW w:w="760" w:type="dxa"/>
          </w:tcPr>
          <w:p w14:paraId="12514F38" w14:textId="77777777" w:rsidR="00BA2AF4" w:rsidRPr="00197D5F" w:rsidRDefault="003A4C0C" w:rsidP="00AC3749">
            <w:pPr>
              <w:spacing w:line="360" w:lineRule="auto"/>
              <w:rPr>
                <w:sz w:val="12"/>
                <w:szCs w:val="12"/>
              </w:rPr>
            </w:pPr>
            <m:oMathPara>
              <m:oMath>
                <m:sSup>
                  <m:sSupPr>
                    <m:ctrlPr>
                      <w:rPr>
                        <w:rFonts w:ascii="Cambria Math" w:hAnsi="Cambria Math"/>
                        <w:i/>
                        <w:sz w:val="12"/>
                        <w:szCs w:val="12"/>
                      </w:rPr>
                    </m:ctrlPr>
                  </m:sSupPr>
                  <m:e>
                    <m:r>
                      <w:rPr>
                        <w:rFonts w:ascii="Cambria Math" w:hAnsi="Cambria Math"/>
                        <w:sz w:val="12"/>
                        <w:szCs w:val="12"/>
                      </w:rPr>
                      <m:t>1,5±0,01</m:t>
                    </m:r>
                  </m:e>
                  <m:sup>
                    <m:r>
                      <w:rPr>
                        <w:rFonts w:ascii="Cambria Math" w:hAnsi="Cambria Math"/>
                        <w:sz w:val="12"/>
                        <w:szCs w:val="12"/>
                      </w:rPr>
                      <m:t>e</m:t>
                    </m:r>
                  </m:sup>
                </m:sSup>
              </m:oMath>
            </m:oMathPara>
          </w:p>
        </w:tc>
      </w:tr>
      <w:tr w:rsidR="00BA2AF4" w:rsidRPr="00197D5F" w14:paraId="11D2BF74" w14:textId="77777777" w:rsidTr="00F51A88">
        <w:trPr>
          <w:trHeight w:val="267"/>
          <w:jc w:val="center"/>
        </w:trPr>
        <w:tc>
          <w:tcPr>
            <w:tcW w:w="522" w:type="dxa"/>
            <w:shd w:val="clear" w:color="auto" w:fill="00FF99"/>
            <w:vAlign w:val="bottom"/>
          </w:tcPr>
          <w:p w14:paraId="6D2D4EAD" w14:textId="77777777" w:rsidR="00BA2AF4" w:rsidRPr="00197D5F" w:rsidRDefault="008E6430" w:rsidP="00642684">
            <w:pPr>
              <w:spacing w:line="360" w:lineRule="auto"/>
              <w:ind w:firstLine="0"/>
              <w:jc w:val="left"/>
              <w:rPr>
                <w:b/>
                <w:sz w:val="12"/>
                <w:szCs w:val="12"/>
              </w:rPr>
            </w:pPr>
            <w:r>
              <w:rPr>
                <w:b/>
                <w:sz w:val="12"/>
                <w:szCs w:val="12"/>
              </w:rPr>
              <w:t xml:space="preserve">pH </w:t>
            </w:r>
            <w:r w:rsidR="00BA2AF4" w:rsidRPr="00197D5F">
              <w:rPr>
                <w:b/>
                <w:sz w:val="12"/>
                <w:szCs w:val="12"/>
              </w:rPr>
              <w:t>6</w:t>
            </w:r>
          </w:p>
        </w:tc>
        <w:tc>
          <w:tcPr>
            <w:tcW w:w="617" w:type="dxa"/>
          </w:tcPr>
          <w:p w14:paraId="7E30260D" w14:textId="77777777" w:rsidR="00BA2AF4" w:rsidRPr="00197D5F" w:rsidRDefault="003A4C0C" w:rsidP="00AC3749">
            <w:pPr>
              <w:spacing w:line="360" w:lineRule="auto"/>
              <w:rPr>
                <w:sz w:val="12"/>
                <w:szCs w:val="12"/>
              </w:rPr>
            </w:pPr>
            <m:oMathPara>
              <m:oMath>
                <m:sSup>
                  <m:sSupPr>
                    <m:ctrlPr>
                      <w:rPr>
                        <w:rFonts w:ascii="Cambria Math" w:hAnsi="Cambria Math"/>
                        <w:i/>
                        <w:sz w:val="12"/>
                        <w:szCs w:val="12"/>
                      </w:rPr>
                    </m:ctrlPr>
                  </m:sSupPr>
                  <m:e>
                    <m:r>
                      <w:rPr>
                        <w:rFonts w:ascii="Cambria Math" w:hAnsi="Cambria Math"/>
                        <w:sz w:val="12"/>
                        <w:szCs w:val="12"/>
                      </w:rPr>
                      <m:t>0±0,00</m:t>
                    </m:r>
                  </m:e>
                  <m:sup>
                    <m:r>
                      <w:rPr>
                        <w:rFonts w:ascii="Cambria Math" w:hAnsi="Cambria Math"/>
                        <w:sz w:val="12"/>
                        <w:szCs w:val="12"/>
                      </w:rPr>
                      <m:t>a</m:t>
                    </m:r>
                  </m:sup>
                </m:sSup>
              </m:oMath>
            </m:oMathPara>
          </w:p>
        </w:tc>
        <w:tc>
          <w:tcPr>
            <w:tcW w:w="793" w:type="dxa"/>
          </w:tcPr>
          <w:p w14:paraId="1830AD72" w14:textId="77777777" w:rsidR="00BA2AF4" w:rsidRPr="00197D5F" w:rsidRDefault="003A4C0C" w:rsidP="00AC3749">
            <w:pPr>
              <w:spacing w:line="360" w:lineRule="auto"/>
              <w:rPr>
                <w:sz w:val="12"/>
                <w:szCs w:val="12"/>
              </w:rPr>
            </w:pPr>
            <m:oMathPara>
              <m:oMath>
                <m:sSup>
                  <m:sSupPr>
                    <m:ctrlPr>
                      <w:rPr>
                        <w:rFonts w:ascii="Cambria Math" w:hAnsi="Cambria Math"/>
                        <w:i/>
                        <w:sz w:val="12"/>
                        <w:szCs w:val="12"/>
                      </w:rPr>
                    </m:ctrlPr>
                  </m:sSupPr>
                  <m:e>
                    <m:r>
                      <w:rPr>
                        <w:rFonts w:ascii="Cambria Math" w:hAnsi="Cambria Math"/>
                        <w:sz w:val="12"/>
                        <w:szCs w:val="12"/>
                      </w:rPr>
                      <m:t>2,6±0,10</m:t>
                    </m:r>
                  </m:e>
                  <m:sup>
                    <m:r>
                      <w:rPr>
                        <w:rFonts w:ascii="Cambria Math" w:hAnsi="Cambria Math"/>
                        <w:sz w:val="12"/>
                        <w:szCs w:val="12"/>
                      </w:rPr>
                      <m:t>c</m:t>
                    </m:r>
                  </m:sup>
                </m:sSup>
              </m:oMath>
            </m:oMathPara>
          </w:p>
        </w:tc>
        <w:tc>
          <w:tcPr>
            <w:tcW w:w="799" w:type="dxa"/>
          </w:tcPr>
          <w:p w14:paraId="1E7AB779" w14:textId="77777777" w:rsidR="00BA2AF4" w:rsidRPr="00197D5F" w:rsidRDefault="003A4C0C" w:rsidP="00AC3749">
            <w:pPr>
              <w:spacing w:line="360" w:lineRule="auto"/>
              <w:rPr>
                <w:sz w:val="12"/>
                <w:szCs w:val="12"/>
              </w:rPr>
            </w:pPr>
            <m:oMathPara>
              <m:oMath>
                <m:sSup>
                  <m:sSupPr>
                    <m:ctrlPr>
                      <w:rPr>
                        <w:rFonts w:ascii="Cambria Math" w:hAnsi="Cambria Math"/>
                        <w:i/>
                        <w:sz w:val="12"/>
                        <w:szCs w:val="12"/>
                      </w:rPr>
                    </m:ctrlPr>
                  </m:sSupPr>
                  <m:e>
                    <m:r>
                      <w:rPr>
                        <w:rFonts w:ascii="Cambria Math" w:hAnsi="Cambria Math"/>
                        <w:sz w:val="12"/>
                        <w:szCs w:val="12"/>
                      </w:rPr>
                      <m:t>4,6±0,10</m:t>
                    </m:r>
                  </m:e>
                  <m:sup>
                    <m:r>
                      <w:rPr>
                        <w:rFonts w:ascii="Cambria Math" w:hAnsi="Cambria Math"/>
                        <w:sz w:val="12"/>
                        <w:szCs w:val="12"/>
                      </w:rPr>
                      <m:t>c</m:t>
                    </m:r>
                  </m:sup>
                </m:sSup>
              </m:oMath>
            </m:oMathPara>
          </w:p>
        </w:tc>
        <w:tc>
          <w:tcPr>
            <w:tcW w:w="798" w:type="dxa"/>
          </w:tcPr>
          <w:p w14:paraId="64DD5441" w14:textId="77777777" w:rsidR="00BA2AF4" w:rsidRPr="00197D5F" w:rsidRDefault="003A4C0C" w:rsidP="00AC3749">
            <w:pPr>
              <w:spacing w:line="360" w:lineRule="auto"/>
              <w:rPr>
                <w:sz w:val="12"/>
                <w:szCs w:val="12"/>
              </w:rPr>
            </w:pPr>
            <m:oMathPara>
              <m:oMath>
                <m:sSup>
                  <m:sSupPr>
                    <m:ctrlPr>
                      <w:rPr>
                        <w:rFonts w:ascii="Cambria Math" w:hAnsi="Cambria Math"/>
                        <w:i/>
                        <w:sz w:val="12"/>
                        <w:szCs w:val="12"/>
                      </w:rPr>
                    </m:ctrlPr>
                  </m:sSupPr>
                  <m:e>
                    <m:r>
                      <w:rPr>
                        <w:rFonts w:ascii="Cambria Math" w:hAnsi="Cambria Math"/>
                        <w:sz w:val="12"/>
                        <w:szCs w:val="12"/>
                      </w:rPr>
                      <m:t>6,1±0.06</m:t>
                    </m:r>
                  </m:e>
                  <m:sup>
                    <m:r>
                      <w:rPr>
                        <w:rFonts w:ascii="Cambria Math" w:hAnsi="Cambria Math"/>
                        <w:sz w:val="12"/>
                        <w:szCs w:val="12"/>
                      </w:rPr>
                      <m:t>d</m:t>
                    </m:r>
                  </m:sup>
                </m:sSup>
              </m:oMath>
            </m:oMathPara>
          </w:p>
        </w:tc>
        <w:tc>
          <w:tcPr>
            <w:tcW w:w="760" w:type="dxa"/>
          </w:tcPr>
          <w:p w14:paraId="19F61D67" w14:textId="77777777" w:rsidR="00BA2AF4" w:rsidRPr="00197D5F" w:rsidRDefault="003A4C0C" w:rsidP="00AC3749">
            <w:pPr>
              <w:spacing w:line="360" w:lineRule="auto"/>
              <w:rPr>
                <w:sz w:val="12"/>
                <w:szCs w:val="12"/>
              </w:rPr>
            </w:pPr>
            <m:oMathPara>
              <m:oMath>
                <m:sSup>
                  <m:sSupPr>
                    <m:ctrlPr>
                      <w:rPr>
                        <w:rFonts w:ascii="Cambria Math" w:hAnsi="Cambria Math"/>
                        <w:i/>
                        <w:sz w:val="12"/>
                        <w:szCs w:val="12"/>
                      </w:rPr>
                    </m:ctrlPr>
                  </m:sSupPr>
                  <m:e>
                    <m:r>
                      <w:rPr>
                        <w:rFonts w:ascii="Cambria Math" w:hAnsi="Cambria Math"/>
                        <w:sz w:val="12"/>
                        <w:szCs w:val="12"/>
                      </w:rPr>
                      <m:t>6,8±0,06</m:t>
                    </m:r>
                  </m:e>
                  <m:sup>
                    <m:r>
                      <w:rPr>
                        <w:rFonts w:ascii="Cambria Math" w:hAnsi="Cambria Math"/>
                        <w:sz w:val="12"/>
                        <w:szCs w:val="12"/>
                      </w:rPr>
                      <m:t>c</m:t>
                    </m:r>
                  </m:sup>
                </m:sSup>
              </m:oMath>
            </m:oMathPara>
          </w:p>
        </w:tc>
      </w:tr>
      <w:tr w:rsidR="00BA2AF4" w:rsidRPr="00197D5F" w14:paraId="79BF3F1E" w14:textId="77777777" w:rsidTr="00F51A88">
        <w:trPr>
          <w:trHeight w:val="267"/>
          <w:jc w:val="center"/>
        </w:trPr>
        <w:tc>
          <w:tcPr>
            <w:tcW w:w="522" w:type="dxa"/>
            <w:shd w:val="clear" w:color="auto" w:fill="00FF99"/>
            <w:vAlign w:val="bottom"/>
          </w:tcPr>
          <w:p w14:paraId="5D07801C" w14:textId="77777777" w:rsidR="00BA2AF4" w:rsidRPr="00197D5F" w:rsidRDefault="008E6430" w:rsidP="00642684">
            <w:pPr>
              <w:spacing w:line="360" w:lineRule="auto"/>
              <w:ind w:firstLine="0"/>
              <w:jc w:val="left"/>
              <w:rPr>
                <w:b/>
                <w:sz w:val="12"/>
                <w:szCs w:val="12"/>
              </w:rPr>
            </w:pPr>
            <w:r>
              <w:rPr>
                <w:b/>
                <w:sz w:val="12"/>
                <w:szCs w:val="12"/>
              </w:rPr>
              <w:t xml:space="preserve">pH </w:t>
            </w:r>
            <w:r w:rsidR="00BA2AF4" w:rsidRPr="00197D5F">
              <w:rPr>
                <w:b/>
                <w:sz w:val="12"/>
                <w:szCs w:val="12"/>
              </w:rPr>
              <w:t>7,93</w:t>
            </w:r>
          </w:p>
        </w:tc>
        <w:tc>
          <w:tcPr>
            <w:tcW w:w="617" w:type="dxa"/>
          </w:tcPr>
          <w:p w14:paraId="03CA8A24" w14:textId="77777777" w:rsidR="00BA2AF4" w:rsidRPr="00197D5F" w:rsidRDefault="003A4C0C" w:rsidP="00AC3749">
            <w:pPr>
              <w:spacing w:line="360" w:lineRule="auto"/>
              <w:rPr>
                <w:sz w:val="12"/>
                <w:szCs w:val="12"/>
              </w:rPr>
            </w:pPr>
            <m:oMathPara>
              <m:oMath>
                <m:sSup>
                  <m:sSupPr>
                    <m:ctrlPr>
                      <w:rPr>
                        <w:rFonts w:ascii="Cambria Math" w:hAnsi="Cambria Math"/>
                        <w:i/>
                        <w:sz w:val="12"/>
                        <w:szCs w:val="12"/>
                      </w:rPr>
                    </m:ctrlPr>
                  </m:sSupPr>
                  <m:e>
                    <m:r>
                      <w:rPr>
                        <w:rFonts w:ascii="Cambria Math" w:hAnsi="Cambria Math"/>
                        <w:sz w:val="12"/>
                        <w:szCs w:val="12"/>
                      </w:rPr>
                      <m:t>0±0,00</m:t>
                    </m:r>
                  </m:e>
                  <m:sup>
                    <m:r>
                      <w:rPr>
                        <w:rFonts w:ascii="Cambria Math" w:hAnsi="Cambria Math"/>
                        <w:sz w:val="12"/>
                        <w:szCs w:val="12"/>
                      </w:rPr>
                      <m:t>a</m:t>
                    </m:r>
                  </m:sup>
                </m:sSup>
              </m:oMath>
            </m:oMathPara>
          </w:p>
        </w:tc>
        <w:tc>
          <w:tcPr>
            <w:tcW w:w="793" w:type="dxa"/>
          </w:tcPr>
          <w:p w14:paraId="0C224400" w14:textId="77777777" w:rsidR="00BA2AF4" w:rsidRPr="00197D5F" w:rsidRDefault="003A4C0C" w:rsidP="00AC3749">
            <w:pPr>
              <w:spacing w:line="360" w:lineRule="auto"/>
              <w:rPr>
                <w:sz w:val="12"/>
                <w:szCs w:val="12"/>
              </w:rPr>
            </w:pPr>
            <m:oMathPara>
              <m:oMath>
                <m:sSup>
                  <m:sSupPr>
                    <m:ctrlPr>
                      <w:rPr>
                        <w:rFonts w:ascii="Cambria Math" w:hAnsi="Cambria Math"/>
                        <w:i/>
                        <w:sz w:val="12"/>
                        <w:szCs w:val="12"/>
                      </w:rPr>
                    </m:ctrlPr>
                  </m:sSupPr>
                  <m:e>
                    <m:r>
                      <w:rPr>
                        <w:rFonts w:ascii="Cambria Math" w:hAnsi="Cambria Math"/>
                        <w:sz w:val="12"/>
                        <w:szCs w:val="12"/>
                      </w:rPr>
                      <m:t>2,9±0,06</m:t>
                    </m:r>
                  </m:e>
                  <m:sup>
                    <m:r>
                      <w:rPr>
                        <w:rFonts w:ascii="Cambria Math" w:hAnsi="Cambria Math"/>
                        <w:sz w:val="12"/>
                        <w:szCs w:val="12"/>
                      </w:rPr>
                      <m:t>b</m:t>
                    </m:r>
                  </m:sup>
                </m:sSup>
              </m:oMath>
            </m:oMathPara>
          </w:p>
        </w:tc>
        <w:tc>
          <w:tcPr>
            <w:tcW w:w="799" w:type="dxa"/>
          </w:tcPr>
          <w:p w14:paraId="19975AF7" w14:textId="77777777" w:rsidR="00BA2AF4" w:rsidRPr="00197D5F" w:rsidRDefault="003A4C0C" w:rsidP="00AC3749">
            <w:pPr>
              <w:spacing w:line="360" w:lineRule="auto"/>
              <w:rPr>
                <w:sz w:val="12"/>
                <w:szCs w:val="12"/>
              </w:rPr>
            </w:pPr>
            <m:oMathPara>
              <m:oMath>
                <m:sSup>
                  <m:sSupPr>
                    <m:ctrlPr>
                      <w:rPr>
                        <w:rFonts w:ascii="Cambria Math" w:hAnsi="Cambria Math"/>
                        <w:i/>
                        <w:sz w:val="12"/>
                        <w:szCs w:val="12"/>
                      </w:rPr>
                    </m:ctrlPr>
                  </m:sSupPr>
                  <m:e>
                    <m:r>
                      <w:rPr>
                        <w:rFonts w:ascii="Cambria Math" w:hAnsi="Cambria Math"/>
                        <w:sz w:val="12"/>
                        <w:szCs w:val="12"/>
                      </w:rPr>
                      <m:t>5,1±0,01</m:t>
                    </m:r>
                  </m:e>
                  <m:sup>
                    <m:r>
                      <w:rPr>
                        <w:rFonts w:ascii="Cambria Math" w:hAnsi="Cambria Math"/>
                        <w:sz w:val="12"/>
                        <w:szCs w:val="12"/>
                      </w:rPr>
                      <m:t>b</m:t>
                    </m:r>
                  </m:sup>
                </m:sSup>
              </m:oMath>
            </m:oMathPara>
          </w:p>
        </w:tc>
        <w:tc>
          <w:tcPr>
            <w:tcW w:w="798" w:type="dxa"/>
          </w:tcPr>
          <w:p w14:paraId="5E897A97" w14:textId="77777777" w:rsidR="00BA2AF4" w:rsidRPr="00197D5F" w:rsidRDefault="003A4C0C" w:rsidP="00AC3749">
            <w:pPr>
              <w:spacing w:line="360" w:lineRule="auto"/>
              <w:rPr>
                <w:sz w:val="12"/>
                <w:szCs w:val="12"/>
              </w:rPr>
            </w:pPr>
            <m:oMathPara>
              <m:oMath>
                <m:sSup>
                  <m:sSupPr>
                    <m:ctrlPr>
                      <w:rPr>
                        <w:rFonts w:ascii="Cambria Math" w:hAnsi="Cambria Math"/>
                        <w:i/>
                        <w:sz w:val="12"/>
                        <w:szCs w:val="12"/>
                      </w:rPr>
                    </m:ctrlPr>
                  </m:sSupPr>
                  <m:e>
                    <m:r>
                      <w:rPr>
                        <w:rFonts w:ascii="Cambria Math" w:hAnsi="Cambria Math"/>
                        <w:sz w:val="12"/>
                        <w:szCs w:val="12"/>
                      </w:rPr>
                      <m:t>6,5±0,10</m:t>
                    </m:r>
                  </m:e>
                  <m:sup>
                    <m:r>
                      <w:rPr>
                        <w:rFonts w:ascii="Cambria Math" w:hAnsi="Cambria Math"/>
                        <w:sz w:val="12"/>
                        <w:szCs w:val="12"/>
                      </w:rPr>
                      <m:t>b</m:t>
                    </m:r>
                  </m:sup>
                </m:sSup>
              </m:oMath>
            </m:oMathPara>
          </w:p>
        </w:tc>
        <w:tc>
          <w:tcPr>
            <w:tcW w:w="760" w:type="dxa"/>
          </w:tcPr>
          <w:p w14:paraId="5B30C9EC" w14:textId="77777777" w:rsidR="00BA2AF4" w:rsidRPr="00197D5F" w:rsidRDefault="003A4C0C" w:rsidP="00AC3749">
            <w:pPr>
              <w:spacing w:line="360" w:lineRule="auto"/>
              <w:rPr>
                <w:sz w:val="12"/>
                <w:szCs w:val="12"/>
              </w:rPr>
            </w:pPr>
            <m:oMathPara>
              <m:oMath>
                <m:sSup>
                  <m:sSupPr>
                    <m:ctrlPr>
                      <w:rPr>
                        <w:rFonts w:ascii="Cambria Math" w:hAnsi="Cambria Math"/>
                        <w:i/>
                        <w:sz w:val="12"/>
                        <w:szCs w:val="12"/>
                      </w:rPr>
                    </m:ctrlPr>
                  </m:sSupPr>
                  <m:e>
                    <m:r>
                      <w:rPr>
                        <w:rFonts w:ascii="Cambria Math" w:hAnsi="Cambria Math"/>
                        <w:sz w:val="12"/>
                        <w:szCs w:val="12"/>
                      </w:rPr>
                      <m:t>7,2±0,10</m:t>
                    </m:r>
                  </m:e>
                  <m:sup>
                    <m:r>
                      <w:rPr>
                        <w:rFonts w:ascii="Cambria Math" w:hAnsi="Cambria Math"/>
                        <w:sz w:val="12"/>
                        <w:szCs w:val="12"/>
                      </w:rPr>
                      <m:t>b</m:t>
                    </m:r>
                  </m:sup>
                </m:sSup>
              </m:oMath>
            </m:oMathPara>
          </w:p>
        </w:tc>
      </w:tr>
    </w:tbl>
    <w:p w14:paraId="38E560AE" w14:textId="68D75ADC" w:rsidR="00B31425" w:rsidRPr="00847DA3" w:rsidRDefault="00642684" w:rsidP="007F7FD1">
      <w:pPr>
        <w:spacing w:line="360" w:lineRule="auto"/>
        <w:ind w:left="284" w:firstLine="0"/>
        <w:rPr>
          <w:i/>
          <w:sz w:val="18"/>
          <w:szCs w:val="18"/>
        </w:rPr>
      </w:pPr>
      <w:r w:rsidRPr="00642684">
        <w:rPr>
          <w:i/>
          <w:sz w:val="18"/>
          <w:szCs w:val="18"/>
        </w:rPr>
        <w:t xml:space="preserve">Các giá trị có cùng kí tự trong cùng một cột thì khác </w:t>
      </w:r>
      <w:r w:rsidR="00595C91">
        <w:rPr>
          <w:i/>
          <w:sz w:val="18"/>
          <w:szCs w:val="18"/>
        </w:rPr>
        <w:t>nhau không có nghĩa thống kê (p&gt;</w:t>
      </w:r>
      <w:r w:rsidRPr="00642684">
        <w:rPr>
          <w:i/>
          <w:sz w:val="18"/>
          <w:szCs w:val="18"/>
        </w:rPr>
        <w:t>0,05)</w:t>
      </w:r>
      <w:r w:rsidR="00AD7CF1">
        <w:rPr>
          <w:i/>
          <w:sz w:val="18"/>
          <w:szCs w:val="18"/>
        </w:rPr>
        <w:t>.</w:t>
      </w:r>
    </w:p>
    <w:p w14:paraId="52BAB393" w14:textId="77777777" w:rsidR="00642684" w:rsidRDefault="00C95D8C" w:rsidP="00966728">
      <w:r>
        <w:rPr>
          <w:noProof/>
        </w:rPr>
        <w:lastRenderedPageBreak/>
        <w:drawing>
          <wp:inline distT="0" distB="0" distL="0" distR="0" wp14:anchorId="138E28C6" wp14:editId="4FBEF186">
            <wp:extent cx="2796988" cy="1775011"/>
            <wp:effectExtent l="0" t="0" r="3810" b="158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F87E95D" w14:textId="77777777" w:rsidR="00B31425" w:rsidRDefault="00642684" w:rsidP="002957A7">
      <w:pPr>
        <w:pStyle w:val="fhhhhhh"/>
      </w:pPr>
      <w:bookmarkStart w:id="5" w:name="_Toc404280998"/>
      <w:r w:rsidRPr="00642684">
        <w:t xml:space="preserve">Hình </w:t>
      </w:r>
      <w:r w:rsidR="00CB4CF1">
        <w:t>5</w:t>
      </w:r>
      <w:r w:rsidRPr="00642684">
        <w:t>:</w:t>
      </w:r>
      <w:r w:rsidRPr="00275097">
        <w:t xml:space="preserve"> </w:t>
      </w:r>
      <w:r w:rsidRPr="00642684">
        <w:t>Sự thay đổi pH theo thời gian của dịch lên men có pH khác nhau</w:t>
      </w:r>
      <w:bookmarkEnd w:id="5"/>
      <w:r w:rsidR="008C7E2A">
        <w:t>.</w:t>
      </w:r>
    </w:p>
    <w:p w14:paraId="2061DFEA" w14:textId="77777777" w:rsidR="001210C1" w:rsidRDefault="001210C1" w:rsidP="002957A7">
      <w:pPr>
        <w:pStyle w:val="fhhhhhh"/>
      </w:pPr>
      <w:bookmarkStart w:id="6" w:name="_Toc404280999"/>
      <w:r w:rsidRPr="004F2798">
        <w:rPr>
          <w:noProof/>
        </w:rPr>
        <w:drawing>
          <wp:inline distT="0" distB="0" distL="0" distR="0" wp14:anchorId="6B4477FF" wp14:editId="3CBC5511">
            <wp:extent cx="2970530" cy="1932442"/>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5D7E7DA" w14:textId="77777777" w:rsidR="001210C1" w:rsidRDefault="00CB4CF1" w:rsidP="002957A7">
      <w:pPr>
        <w:pStyle w:val="fhhhhhh"/>
      </w:pPr>
      <w:r w:rsidRPr="00CB4CF1">
        <w:t>Hình 6: Sự thay đổi hàm lượng acid tổng số (%) theo thời gian của dịch lên men ở các pH khác nhau</w:t>
      </w:r>
      <w:bookmarkEnd w:id="6"/>
      <w:r w:rsidR="008C7E2A">
        <w:t>.</w:t>
      </w:r>
    </w:p>
    <w:p w14:paraId="27931CCE" w14:textId="452632BF" w:rsidR="004D44D2" w:rsidRDefault="00FB088F" w:rsidP="00056DA5">
      <w:pPr>
        <w:rPr>
          <w:noProof/>
          <w:szCs w:val="20"/>
        </w:rPr>
      </w:pPr>
      <w:r>
        <w:rPr>
          <w:noProof/>
          <w:szCs w:val="20"/>
        </w:rPr>
        <w:t>Theo các kết quả trên, q</w:t>
      </w:r>
      <w:r w:rsidRPr="0064357B">
        <w:rPr>
          <w:noProof/>
          <w:szCs w:val="20"/>
        </w:rPr>
        <w:t xml:space="preserve">ua 96 giờ lên men, chúng tôi thu được hàm </w:t>
      </w:r>
      <w:r w:rsidR="001C4DFF">
        <w:rPr>
          <w:noProof/>
          <w:szCs w:val="20"/>
        </w:rPr>
        <w:t xml:space="preserve">lượng cồn cao nhất là ở pH 4,5. </w:t>
      </w:r>
      <w:r w:rsidRPr="0064357B">
        <w:rPr>
          <w:noProof/>
          <w:szCs w:val="20"/>
        </w:rPr>
        <w:t xml:space="preserve">Điều này chứng tỏ, pH này </w:t>
      </w:r>
      <w:r w:rsidR="001C4DFF">
        <w:rPr>
          <w:noProof/>
          <w:szCs w:val="20"/>
        </w:rPr>
        <w:t>phù hợp nhất để</w:t>
      </w:r>
      <w:r w:rsidR="00E85034">
        <w:rPr>
          <w:noProof/>
          <w:szCs w:val="20"/>
        </w:rPr>
        <w:t xml:space="preserve"> lên men rượu đ</w:t>
      </w:r>
      <w:r w:rsidRPr="0064357B">
        <w:rPr>
          <w:noProof/>
          <w:szCs w:val="20"/>
        </w:rPr>
        <w:t xml:space="preserve">oác </w:t>
      </w:r>
      <w:r w:rsidR="001C4DFF">
        <w:rPr>
          <w:noProof/>
          <w:szCs w:val="20"/>
        </w:rPr>
        <w:t>bằng</w:t>
      </w:r>
      <w:r w:rsidRPr="0064357B">
        <w:rPr>
          <w:noProof/>
          <w:szCs w:val="20"/>
        </w:rPr>
        <w:t xml:space="preserve"> chủng nấm men </w:t>
      </w:r>
      <w:r w:rsidR="001C4DFF">
        <w:rPr>
          <w:noProof/>
          <w:szCs w:val="20"/>
        </w:rPr>
        <w:t>chúng tôi</w:t>
      </w:r>
      <w:r w:rsidR="0059286F">
        <w:rPr>
          <w:noProof/>
          <w:szCs w:val="20"/>
        </w:rPr>
        <w:t xml:space="preserve"> phân lập </w:t>
      </w:r>
      <w:r w:rsidR="001C4DFF">
        <w:rPr>
          <w:noProof/>
          <w:szCs w:val="20"/>
        </w:rPr>
        <w:t xml:space="preserve">được </w:t>
      </w:r>
      <w:r w:rsidR="0059286F">
        <w:rPr>
          <w:noProof/>
          <w:szCs w:val="20"/>
        </w:rPr>
        <w:t xml:space="preserve">từ </w:t>
      </w:r>
      <w:r w:rsidR="001C4DFF">
        <w:rPr>
          <w:noProof/>
          <w:szCs w:val="20"/>
        </w:rPr>
        <w:t>chính dịch nhựa của nó. Kết quả này cũng phù hợp kết quả</w:t>
      </w:r>
      <w:r w:rsidRPr="0064357B">
        <w:rPr>
          <w:noProof/>
          <w:szCs w:val="20"/>
        </w:rPr>
        <w:t xml:space="preserve"> của A.Tahir và cộng sự </w:t>
      </w:r>
      <w:r w:rsidR="001C4DFF">
        <w:rPr>
          <w:noProof/>
          <w:szCs w:val="20"/>
        </w:rPr>
        <w:t>vốn</w:t>
      </w:r>
      <w:r w:rsidRPr="0064357B">
        <w:rPr>
          <w:noProof/>
          <w:szCs w:val="20"/>
        </w:rPr>
        <w:t xml:space="preserve"> chỉ ra rằng, q</w:t>
      </w:r>
      <w:r w:rsidRPr="0064357B">
        <w:rPr>
          <w:szCs w:val="20"/>
        </w:rPr>
        <w:t>uá trình sản xuất ethanol đạt cực đại ở pH 4,</w:t>
      </w:r>
      <w:r w:rsidRPr="005D6BF3">
        <w:rPr>
          <w:szCs w:val="20"/>
        </w:rPr>
        <w:t>5 [</w:t>
      </w:r>
      <w:r w:rsidR="00957C4E" w:rsidRPr="005D6BF3">
        <w:rPr>
          <w:szCs w:val="20"/>
        </w:rPr>
        <w:t>1</w:t>
      </w:r>
      <w:r w:rsidR="00957C4E">
        <w:rPr>
          <w:szCs w:val="20"/>
        </w:rPr>
        <w:t>2</w:t>
      </w:r>
      <w:r w:rsidRPr="005D6BF3">
        <w:rPr>
          <w:szCs w:val="20"/>
        </w:rPr>
        <w:t xml:space="preserve">]. </w:t>
      </w:r>
      <w:r w:rsidRPr="0064357B">
        <w:rPr>
          <w:szCs w:val="20"/>
        </w:rPr>
        <w:t xml:space="preserve">Và pH này cũng nằm trong khoảng pH tối ưu cho quá trình lên men trong điều </w:t>
      </w:r>
      <w:r w:rsidRPr="005D6BF3">
        <w:rPr>
          <w:szCs w:val="20"/>
        </w:rPr>
        <w:t>kiện yếm khí (ng</w:t>
      </w:r>
      <w:r w:rsidR="00E85034">
        <w:rPr>
          <w:szCs w:val="20"/>
        </w:rPr>
        <w:t>hĩa là ethanol tạo thành nhiều)</w:t>
      </w:r>
      <w:r w:rsidR="001C4DFF">
        <w:rPr>
          <w:szCs w:val="20"/>
        </w:rPr>
        <w:t xml:space="preserve"> </w:t>
      </w:r>
      <w:r w:rsidRPr="005D6BF3">
        <w:rPr>
          <w:szCs w:val="20"/>
        </w:rPr>
        <w:t>[</w:t>
      </w:r>
      <w:r w:rsidR="00C0642B">
        <w:rPr>
          <w:szCs w:val="20"/>
        </w:rPr>
        <w:t>5</w:t>
      </w:r>
      <w:r w:rsidRPr="005D6BF3">
        <w:rPr>
          <w:szCs w:val="20"/>
        </w:rPr>
        <w:t>].</w:t>
      </w:r>
      <w:r w:rsidRPr="005D6BF3">
        <w:rPr>
          <w:noProof/>
          <w:szCs w:val="20"/>
        </w:rPr>
        <w:t xml:space="preserve"> Có lẽ ở pH này, màng tế bào </w:t>
      </w:r>
      <w:r w:rsidR="001C4DFF">
        <w:rPr>
          <w:noProof/>
          <w:szCs w:val="20"/>
        </w:rPr>
        <w:t xml:space="preserve">có khả năng </w:t>
      </w:r>
      <w:r w:rsidRPr="005D6BF3">
        <w:rPr>
          <w:noProof/>
          <w:szCs w:val="20"/>
        </w:rPr>
        <w:t xml:space="preserve">thẩm thấu chất dinh dưỡng tốt nhất và quá trình chuyển hóa đường thành cồn ít </w:t>
      </w:r>
      <w:r w:rsidR="001C4DFF">
        <w:rPr>
          <w:noProof/>
          <w:szCs w:val="20"/>
        </w:rPr>
        <w:t>tạo ra</w:t>
      </w:r>
      <w:r w:rsidRPr="005D6BF3">
        <w:rPr>
          <w:noProof/>
          <w:szCs w:val="20"/>
        </w:rPr>
        <w:t xml:space="preserve"> sản phẩm phụ.</w:t>
      </w:r>
      <w:r w:rsidRPr="005D6BF3">
        <w:rPr>
          <w:szCs w:val="20"/>
        </w:rPr>
        <w:t xml:space="preserve"> </w:t>
      </w:r>
      <w:r w:rsidR="001C4DFF">
        <w:rPr>
          <w:szCs w:val="20"/>
        </w:rPr>
        <w:t>Ngoài ra</w:t>
      </w:r>
      <w:r w:rsidRPr="005D6BF3">
        <w:rPr>
          <w:noProof/>
          <w:szCs w:val="20"/>
        </w:rPr>
        <w:t xml:space="preserve">, pH cuối cùng của quá trình lên men </w:t>
      </w:r>
      <w:r w:rsidR="001C4DFF">
        <w:rPr>
          <w:noProof/>
          <w:szCs w:val="20"/>
        </w:rPr>
        <w:t xml:space="preserve">thấp, </w:t>
      </w:r>
      <w:r w:rsidRPr="005D6BF3">
        <w:rPr>
          <w:noProof/>
          <w:szCs w:val="20"/>
        </w:rPr>
        <w:t>đạt 3,</w:t>
      </w:r>
      <w:r w:rsidR="002E56D2" w:rsidRPr="005D6BF3">
        <w:rPr>
          <w:noProof/>
          <w:szCs w:val="20"/>
        </w:rPr>
        <w:t>7</w:t>
      </w:r>
      <w:r w:rsidR="002E56D2">
        <w:rPr>
          <w:noProof/>
          <w:szCs w:val="20"/>
        </w:rPr>
        <w:t>6</w:t>
      </w:r>
      <w:r w:rsidR="002E56D2" w:rsidRPr="005D6BF3">
        <w:rPr>
          <w:noProof/>
          <w:szCs w:val="20"/>
        </w:rPr>
        <w:t xml:space="preserve"> </w:t>
      </w:r>
      <w:r w:rsidR="000A139C">
        <w:rPr>
          <w:noProof/>
          <w:szCs w:val="20"/>
        </w:rPr>
        <w:t xml:space="preserve">thấp hơn </w:t>
      </w:r>
      <w:r w:rsidRPr="005D6BF3">
        <w:rPr>
          <w:noProof/>
          <w:szCs w:val="20"/>
        </w:rPr>
        <w:t xml:space="preserve">4 </w:t>
      </w:r>
      <w:r w:rsidR="001C4DFF">
        <w:rPr>
          <w:noProof/>
          <w:szCs w:val="20"/>
        </w:rPr>
        <w:t>giúp</w:t>
      </w:r>
      <w:r w:rsidRPr="005D6BF3">
        <w:rPr>
          <w:noProof/>
          <w:szCs w:val="20"/>
        </w:rPr>
        <w:t xml:space="preserve"> rượu trở nên ổn định, ức chế được sự tăng trưởng của vi sinh vật có hại như: nấm men dại, các vi khuẩn lactic, acetic lên men không mong muốn, có thể kiểm soát được quá trình lên men malolactic gây ảnh hưởng đến chất lượng rượu và còn hạn chế được sự oxi hóa các thành phần trong rượu</w:t>
      </w:r>
      <w:r w:rsidR="00E85034">
        <w:rPr>
          <w:noProof/>
          <w:szCs w:val="20"/>
        </w:rPr>
        <w:t xml:space="preserve"> </w:t>
      </w:r>
      <w:r w:rsidRPr="005D6BF3">
        <w:rPr>
          <w:noProof/>
          <w:szCs w:val="20"/>
        </w:rPr>
        <w:t>[</w:t>
      </w:r>
      <w:r w:rsidR="008E6430" w:rsidRPr="005D6BF3">
        <w:rPr>
          <w:noProof/>
          <w:szCs w:val="20"/>
        </w:rPr>
        <w:t>8</w:t>
      </w:r>
      <w:r w:rsidRPr="005D6BF3">
        <w:rPr>
          <w:noProof/>
          <w:szCs w:val="20"/>
        </w:rPr>
        <w:t xml:space="preserve">]. Như </w:t>
      </w:r>
      <w:r w:rsidRPr="0064357B">
        <w:rPr>
          <w:noProof/>
          <w:szCs w:val="20"/>
        </w:rPr>
        <w:t xml:space="preserve">vậy, ở pH này không những đạt được hàm lượng cồn cao mà còn </w:t>
      </w:r>
      <w:r w:rsidR="004D44D2">
        <w:rPr>
          <w:noProof/>
          <w:szCs w:val="20"/>
        </w:rPr>
        <w:t>tạo điều kiện cho</w:t>
      </w:r>
      <w:r w:rsidRPr="0064357B">
        <w:rPr>
          <w:noProof/>
          <w:szCs w:val="20"/>
        </w:rPr>
        <w:t xml:space="preserve"> sự ổn định rượu trong quá trình bảo quản. </w:t>
      </w:r>
    </w:p>
    <w:p w14:paraId="39D6F6CA" w14:textId="77777777" w:rsidR="004D44D2" w:rsidRDefault="004D44D2" w:rsidP="00056DA5">
      <w:pPr>
        <w:rPr>
          <w:noProof/>
          <w:szCs w:val="20"/>
        </w:rPr>
      </w:pPr>
      <w:r>
        <w:rPr>
          <w:noProof/>
          <w:szCs w:val="20"/>
        </w:rPr>
        <w:t>Đối với</w:t>
      </w:r>
      <w:r w:rsidR="00FB088F" w:rsidRPr="0064357B">
        <w:rPr>
          <w:noProof/>
          <w:szCs w:val="20"/>
        </w:rPr>
        <w:t xml:space="preserve"> pH của dịch nhựa cây đoác, pH này nằm trong vùng kiềm và không phải vùng hoạt động của nấm men lên men rượu vang. Tuy nhiên, trong dịch này vốn có các chất hỗ trợ cho quá trình sinh trưởng và phát triển của nấm men. Do đó, chúng vẫn diễn ra quá trình lên men với hiệu suất cồn tạo thành khá cao nhưng thấp hơn </w:t>
      </w:r>
      <w:r>
        <w:rPr>
          <w:noProof/>
          <w:szCs w:val="20"/>
        </w:rPr>
        <w:t xml:space="preserve">so với </w:t>
      </w:r>
      <w:r w:rsidR="00FB088F" w:rsidRPr="0064357B">
        <w:rPr>
          <w:noProof/>
          <w:szCs w:val="20"/>
        </w:rPr>
        <w:t xml:space="preserve">ở pH  4,5. Có </w:t>
      </w:r>
      <w:r w:rsidR="00FB088F" w:rsidRPr="00010B1E">
        <w:rPr>
          <w:noProof/>
          <w:szCs w:val="20"/>
        </w:rPr>
        <w:t xml:space="preserve">lẽ do quá trình lên men </w:t>
      </w:r>
      <w:r>
        <w:rPr>
          <w:noProof/>
          <w:szCs w:val="20"/>
        </w:rPr>
        <w:t xml:space="preserve">đã </w:t>
      </w:r>
      <w:r w:rsidR="00FB088F" w:rsidRPr="00010B1E">
        <w:rPr>
          <w:noProof/>
          <w:szCs w:val="20"/>
        </w:rPr>
        <w:t xml:space="preserve">tạo ra nhiều sản phẩm phụ </w:t>
      </w:r>
      <w:r>
        <w:rPr>
          <w:noProof/>
          <w:szCs w:val="20"/>
        </w:rPr>
        <w:t>hơn, gây tổn hao cơ chất</w:t>
      </w:r>
      <w:r w:rsidR="00FB088F" w:rsidRPr="00010B1E">
        <w:rPr>
          <w:noProof/>
          <w:szCs w:val="20"/>
        </w:rPr>
        <w:t xml:space="preserve">. </w:t>
      </w:r>
    </w:p>
    <w:p w14:paraId="41A2ED5D" w14:textId="77777777" w:rsidR="004D44D2" w:rsidRDefault="004D44D2" w:rsidP="00056DA5">
      <w:pPr>
        <w:rPr>
          <w:noProof/>
          <w:szCs w:val="20"/>
        </w:rPr>
      </w:pPr>
      <w:r>
        <w:rPr>
          <w:noProof/>
          <w:szCs w:val="20"/>
        </w:rPr>
        <w:lastRenderedPageBreak/>
        <w:t>Với</w:t>
      </w:r>
      <w:r w:rsidR="00FB088F" w:rsidRPr="00010B1E">
        <w:rPr>
          <w:noProof/>
          <w:szCs w:val="20"/>
        </w:rPr>
        <w:t xml:space="preserve"> pH</w:t>
      </w:r>
      <w:r w:rsidR="0059286F" w:rsidRPr="009C2C86">
        <w:rPr>
          <w:noProof/>
          <w:szCs w:val="20"/>
        </w:rPr>
        <w:t xml:space="preserve"> </w:t>
      </w:r>
      <w:r w:rsidR="00FB088F" w:rsidRPr="009C2C86">
        <w:rPr>
          <w:noProof/>
          <w:szCs w:val="20"/>
        </w:rPr>
        <w:t>5,5</w:t>
      </w:r>
      <w:r>
        <w:rPr>
          <w:noProof/>
          <w:szCs w:val="20"/>
        </w:rPr>
        <w:t xml:space="preserve">, </w:t>
      </w:r>
      <w:r w:rsidR="00FB088F" w:rsidRPr="009C2C86">
        <w:rPr>
          <w:noProof/>
          <w:szCs w:val="20"/>
        </w:rPr>
        <w:t>quá trình lê</w:t>
      </w:r>
      <w:r w:rsidR="00FB088F" w:rsidRPr="002E56D2">
        <w:rPr>
          <w:noProof/>
          <w:szCs w:val="20"/>
        </w:rPr>
        <w:t xml:space="preserve">n men diễn ra chậm và sau 96 giờ lên men hàm lượng cồn chỉ đạt được 1,5%. Điều này có thể giải thích là do ở pH </w:t>
      </w:r>
      <w:r>
        <w:rPr>
          <w:noProof/>
          <w:szCs w:val="20"/>
        </w:rPr>
        <w:t xml:space="preserve">này, </w:t>
      </w:r>
      <w:r w:rsidR="00FB088F" w:rsidRPr="002E56D2">
        <w:rPr>
          <w:noProof/>
          <w:szCs w:val="20"/>
        </w:rPr>
        <w:t xml:space="preserve">các chất hỗ trợ cho nấm men phát triển </w:t>
      </w:r>
      <w:r>
        <w:rPr>
          <w:noProof/>
          <w:szCs w:val="20"/>
        </w:rPr>
        <w:t>ở trạng thái không thích hợp do tác động của</w:t>
      </w:r>
      <w:r w:rsidR="00FB088F" w:rsidRPr="002E56D2">
        <w:rPr>
          <w:noProof/>
          <w:szCs w:val="20"/>
        </w:rPr>
        <w:t xml:space="preserve"> pH và màng tế bào của nấm men bị </w:t>
      </w:r>
      <w:r>
        <w:rPr>
          <w:noProof/>
          <w:szCs w:val="20"/>
        </w:rPr>
        <w:t>giảm khả năng thẩm thấu chất dinh dưỡng,</w:t>
      </w:r>
      <w:r w:rsidR="00FB088F" w:rsidRPr="00957C4E">
        <w:rPr>
          <w:noProof/>
          <w:szCs w:val="20"/>
        </w:rPr>
        <w:t xml:space="preserve"> nên quá trình trao đổi chất</w:t>
      </w:r>
      <w:r>
        <w:rPr>
          <w:noProof/>
          <w:szCs w:val="20"/>
        </w:rPr>
        <w:t xml:space="preserve"> bên trong tế bào</w:t>
      </w:r>
      <w:r w:rsidR="00FB088F" w:rsidRPr="00957C4E">
        <w:rPr>
          <w:noProof/>
          <w:szCs w:val="20"/>
        </w:rPr>
        <w:t xml:space="preserve"> diễn ra chậm</w:t>
      </w:r>
      <w:r>
        <w:rPr>
          <w:noProof/>
          <w:szCs w:val="20"/>
        </w:rPr>
        <w:t xml:space="preserve"> hơn</w:t>
      </w:r>
      <w:r w:rsidR="00FB088F" w:rsidRPr="00957C4E">
        <w:rPr>
          <w:noProof/>
          <w:szCs w:val="20"/>
        </w:rPr>
        <w:t>, thời gian lên men kéo dài</w:t>
      </w:r>
      <w:r>
        <w:rPr>
          <w:noProof/>
          <w:szCs w:val="20"/>
        </w:rPr>
        <w:t xml:space="preserve"> hơn</w:t>
      </w:r>
      <w:r w:rsidR="00FB088F" w:rsidRPr="00957C4E">
        <w:rPr>
          <w:noProof/>
          <w:szCs w:val="20"/>
        </w:rPr>
        <w:t xml:space="preserve">. Do vậy, sau 96 giờ lên men, hàm lượng đường sót vẫn còn cao đến 14,41%. </w:t>
      </w:r>
    </w:p>
    <w:p w14:paraId="3E197DA5" w14:textId="77777777" w:rsidR="00191484" w:rsidRDefault="004D44D2" w:rsidP="00056DA5">
      <w:pPr>
        <w:rPr>
          <w:noProof/>
          <w:szCs w:val="20"/>
        </w:rPr>
      </w:pPr>
      <w:r>
        <w:rPr>
          <w:noProof/>
          <w:szCs w:val="20"/>
        </w:rPr>
        <w:t>Trong khi đó, ở pH 4</w:t>
      </w:r>
      <w:r w:rsidR="00FB088F" w:rsidRPr="00957C4E">
        <w:rPr>
          <w:noProof/>
          <w:szCs w:val="20"/>
        </w:rPr>
        <w:t xml:space="preserve"> hàm lượng đường</w:t>
      </w:r>
      <w:r>
        <w:rPr>
          <w:noProof/>
          <w:szCs w:val="20"/>
        </w:rPr>
        <w:t xml:space="preserve"> sót </w:t>
      </w:r>
      <w:r w:rsidR="00FB088F" w:rsidRPr="00957C4E">
        <w:rPr>
          <w:noProof/>
          <w:szCs w:val="20"/>
        </w:rPr>
        <w:t>còn lại sau 96 giờ lên men vẫn còn cao 8,23% và lượng cồn thu đư</w:t>
      </w:r>
      <w:r w:rsidR="00FB088F" w:rsidRPr="004C7EA2">
        <w:rPr>
          <w:noProof/>
          <w:szCs w:val="20"/>
        </w:rPr>
        <w:t>ợc sau 96 gi</w:t>
      </w:r>
      <w:r>
        <w:rPr>
          <w:noProof/>
          <w:szCs w:val="20"/>
        </w:rPr>
        <w:t xml:space="preserve">ờ lên men đạt 4,6%. </w:t>
      </w:r>
      <w:r w:rsidR="00191484">
        <w:rPr>
          <w:noProof/>
          <w:szCs w:val="20"/>
        </w:rPr>
        <w:t xml:space="preserve">Có thể </w:t>
      </w:r>
      <w:r>
        <w:rPr>
          <w:noProof/>
          <w:szCs w:val="20"/>
        </w:rPr>
        <w:t xml:space="preserve">ở </w:t>
      </w:r>
      <w:r w:rsidR="00FB088F" w:rsidRPr="004C7EA2">
        <w:rPr>
          <w:noProof/>
          <w:szCs w:val="20"/>
        </w:rPr>
        <w:t>pH thấp nhất</w:t>
      </w:r>
      <w:r>
        <w:rPr>
          <w:noProof/>
          <w:szCs w:val="20"/>
        </w:rPr>
        <w:t xml:space="preserve"> này, </w:t>
      </w:r>
      <w:r w:rsidR="00FB088F" w:rsidRPr="004C7EA2">
        <w:rPr>
          <w:noProof/>
          <w:szCs w:val="20"/>
        </w:rPr>
        <w:t xml:space="preserve">nồng độ ion </w:t>
      </w:r>
      <m:oMath>
        <m:sSup>
          <m:sSupPr>
            <m:ctrlPr>
              <w:rPr>
                <w:rFonts w:ascii="Cambria Math" w:hAnsi="Cambria Math"/>
                <w:noProof/>
                <w:szCs w:val="20"/>
              </w:rPr>
            </m:ctrlPr>
          </m:sSupPr>
          <m:e>
            <m:r>
              <m:rPr>
                <m:sty m:val="p"/>
              </m:rPr>
              <w:rPr>
                <w:rFonts w:ascii="Cambria Math" w:hAnsi="Cambria Math"/>
                <w:noProof/>
                <w:szCs w:val="20"/>
              </w:rPr>
              <m:t>H</m:t>
            </m:r>
          </m:e>
          <m:sup>
            <m:r>
              <m:rPr>
                <m:sty m:val="p"/>
              </m:rPr>
              <w:rPr>
                <w:rFonts w:ascii="Cambria Math" w:hAnsi="Cambria Math"/>
                <w:noProof/>
                <w:szCs w:val="20"/>
              </w:rPr>
              <m:t>+</m:t>
            </m:r>
          </m:sup>
        </m:sSup>
      </m:oMath>
      <w:r w:rsidR="00FB088F" w:rsidRPr="00010B1E">
        <w:rPr>
          <w:noProof/>
          <w:szCs w:val="20"/>
        </w:rPr>
        <w:t xml:space="preserve"> trong môi trường lên men cao so với bên trong tế bào nên tế b</w:t>
      </w:r>
      <w:r w:rsidR="00FB088F" w:rsidRPr="009C2C86">
        <w:rPr>
          <w:noProof/>
          <w:szCs w:val="20"/>
        </w:rPr>
        <w:t>ào bị mất cân bằng thẩm thấu. Do vậy,</w:t>
      </w:r>
      <w:r w:rsidR="00FB088F" w:rsidRPr="002E56D2">
        <w:rPr>
          <w:noProof/>
          <w:szCs w:val="20"/>
        </w:rPr>
        <w:t xml:space="preserve"> sự trao đổi chất của nấm men vẫn xảy ra như</w:t>
      </w:r>
      <w:r w:rsidR="00FB088F" w:rsidRPr="00957C4E">
        <w:rPr>
          <w:noProof/>
          <w:szCs w:val="20"/>
        </w:rPr>
        <w:t xml:space="preserve">ng diễn ra chậm. Do đó, sau 96 giờ lên men, hàm lượng cồn chỉ đạt 4,6%. </w:t>
      </w:r>
      <w:r w:rsidR="00FB088F" w:rsidRPr="004C7EA2">
        <w:rPr>
          <w:noProof/>
          <w:szCs w:val="20"/>
        </w:rPr>
        <w:t>Còn ở pH 5 và pH 6</w:t>
      </w:r>
      <w:r w:rsidR="00FB088F" w:rsidRPr="00CF5457">
        <w:rPr>
          <w:noProof/>
          <w:szCs w:val="20"/>
        </w:rPr>
        <w:t xml:space="preserve"> có tốc độ sử dụng đường và cồn tạo thành x</w:t>
      </w:r>
      <w:r w:rsidR="00191484">
        <w:rPr>
          <w:noProof/>
          <w:szCs w:val="20"/>
        </w:rPr>
        <w:t>ấp xỉ</w:t>
      </w:r>
      <w:r w:rsidR="00FB088F" w:rsidRPr="00CF5457">
        <w:rPr>
          <w:noProof/>
          <w:szCs w:val="20"/>
        </w:rPr>
        <w:t xml:space="preserve"> bằng nhau</w:t>
      </w:r>
      <w:r w:rsidR="00191484">
        <w:rPr>
          <w:noProof/>
          <w:szCs w:val="20"/>
        </w:rPr>
        <w:t>.</w:t>
      </w:r>
      <w:r w:rsidR="00FB088F" w:rsidRPr="002E56D2">
        <w:rPr>
          <w:noProof/>
          <w:szCs w:val="20"/>
        </w:rPr>
        <w:t xml:space="preserve"> </w:t>
      </w:r>
      <w:bookmarkStart w:id="7" w:name="_GoBack"/>
      <w:bookmarkEnd w:id="7"/>
    </w:p>
    <w:p w14:paraId="26E679DA" w14:textId="62932EF4" w:rsidR="00FB088F" w:rsidRPr="00957C4E" w:rsidRDefault="00FB088F" w:rsidP="00056DA5">
      <w:pPr>
        <w:rPr>
          <w:noProof/>
          <w:szCs w:val="20"/>
        </w:rPr>
      </w:pPr>
      <w:r w:rsidRPr="002E56D2">
        <w:rPr>
          <w:noProof/>
          <w:szCs w:val="20"/>
        </w:rPr>
        <w:t xml:space="preserve">Như vậy, pH </w:t>
      </w:r>
      <w:r w:rsidR="00191484">
        <w:rPr>
          <w:noProof/>
          <w:szCs w:val="20"/>
        </w:rPr>
        <w:t>phù hợp nhất để chủng nấm men phân lập được đạt hiệu suất lên men cồn tốt nhất từ dịch nhựa đoác</w:t>
      </w:r>
      <w:r w:rsidRPr="002E56D2">
        <w:rPr>
          <w:noProof/>
          <w:szCs w:val="20"/>
        </w:rPr>
        <w:t xml:space="preserve"> là 4,5.</w:t>
      </w:r>
    </w:p>
    <w:p w14:paraId="72DD69FF" w14:textId="77777777" w:rsidR="00494919" w:rsidRPr="00957C4E" w:rsidRDefault="00E368BE" w:rsidP="00DD3B94">
      <w:pPr>
        <w:pStyle w:val="Heading1"/>
      </w:pPr>
      <w:r w:rsidRPr="00957C4E">
        <w:t>Kết luận</w:t>
      </w:r>
    </w:p>
    <w:p w14:paraId="3338589E" w14:textId="0CCDE481" w:rsidR="00C61A63" w:rsidRPr="002957A7" w:rsidRDefault="00D45EDC" w:rsidP="00191484">
      <w:pPr>
        <w:rPr>
          <w:color w:val="FF0000"/>
          <w:szCs w:val="20"/>
        </w:rPr>
      </w:pPr>
      <w:r w:rsidRPr="002957A7">
        <w:rPr>
          <w:color w:val="FF0000"/>
          <w:szCs w:val="20"/>
        </w:rPr>
        <w:t>Qua các nghiên cứu ở trên</w:t>
      </w:r>
      <w:r w:rsidR="00010B1E" w:rsidRPr="002957A7">
        <w:rPr>
          <w:color w:val="FF0000"/>
          <w:szCs w:val="20"/>
        </w:rPr>
        <w:t>, chúng tôi</w:t>
      </w:r>
      <w:r w:rsidR="00191484" w:rsidRPr="002957A7">
        <w:rPr>
          <w:color w:val="FF0000"/>
          <w:szCs w:val="20"/>
        </w:rPr>
        <w:t xml:space="preserve"> đã phân lập</w:t>
      </w:r>
      <w:r w:rsidR="00010B1E" w:rsidRPr="002957A7">
        <w:rPr>
          <w:color w:val="FF0000"/>
          <w:szCs w:val="20"/>
        </w:rPr>
        <w:t xml:space="preserve"> đượ</w:t>
      </w:r>
      <w:r w:rsidR="00A56ECA" w:rsidRPr="002957A7">
        <w:rPr>
          <w:color w:val="FF0000"/>
          <w:szCs w:val="20"/>
        </w:rPr>
        <w:t>c</w:t>
      </w:r>
      <w:r w:rsidR="00191484" w:rsidRPr="002957A7">
        <w:rPr>
          <w:color w:val="FF0000"/>
          <w:szCs w:val="20"/>
        </w:rPr>
        <w:t xml:space="preserve"> chủng nấ</w:t>
      </w:r>
      <w:r w:rsidR="00010B1E" w:rsidRPr="002957A7">
        <w:rPr>
          <w:color w:val="FF0000"/>
          <w:szCs w:val="20"/>
        </w:rPr>
        <w:t>m men thuần khiết có khả năng lên men tạo độ cồn cao là 8,</w:t>
      </w:r>
      <w:r w:rsidR="002E56D2" w:rsidRPr="002957A7">
        <w:rPr>
          <w:color w:val="FF0000"/>
          <w:szCs w:val="20"/>
        </w:rPr>
        <w:t>2</w:t>
      </w:r>
      <w:r w:rsidR="00010B1E" w:rsidRPr="002957A7">
        <w:rPr>
          <w:color w:val="FF0000"/>
          <w:szCs w:val="20"/>
        </w:rPr>
        <w:t>% (v/v)</w:t>
      </w:r>
      <w:r w:rsidR="00E87489" w:rsidRPr="002957A7">
        <w:rPr>
          <w:color w:val="FF0000"/>
          <w:szCs w:val="20"/>
        </w:rPr>
        <w:t xml:space="preserve"> </w:t>
      </w:r>
      <w:r w:rsidRPr="002957A7">
        <w:rPr>
          <w:color w:val="FF0000"/>
          <w:szCs w:val="20"/>
        </w:rPr>
        <w:t xml:space="preserve">sau 96 giờ </w:t>
      </w:r>
      <w:r w:rsidR="00191484" w:rsidRPr="002957A7">
        <w:rPr>
          <w:color w:val="FF0000"/>
          <w:szCs w:val="20"/>
        </w:rPr>
        <w:t>và sản phẩm</w:t>
      </w:r>
      <w:r w:rsidRPr="002957A7">
        <w:rPr>
          <w:color w:val="FF0000"/>
          <w:szCs w:val="20"/>
        </w:rPr>
        <w:t xml:space="preserve"> tạo thành</w:t>
      </w:r>
      <w:r w:rsidR="00191484" w:rsidRPr="002957A7">
        <w:rPr>
          <w:color w:val="FF0000"/>
          <w:szCs w:val="20"/>
        </w:rPr>
        <w:t xml:space="preserve"> có khả năng </w:t>
      </w:r>
      <w:r w:rsidR="00E87489" w:rsidRPr="002957A7">
        <w:rPr>
          <w:color w:val="FF0000"/>
          <w:szCs w:val="20"/>
        </w:rPr>
        <w:t>ổn định</w:t>
      </w:r>
      <w:r w:rsidRPr="002957A7">
        <w:rPr>
          <w:color w:val="FF0000"/>
          <w:szCs w:val="20"/>
        </w:rPr>
        <w:t xml:space="preserve"> tốt với hàm lượng đường sót thấp, pH thấp</w:t>
      </w:r>
      <w:r w:rsidR="00E87489" w:rsidRPr="002957A7">
        <w:rPr>
          <w:color w:val="FF0000"/>
          <w:szCs w:val="20"/>
        </w:rPr>
        <w:t xml:space="preserve">. Bên cạnh đó, </w:t>
      </w:r>
      <w:r w:rsidRPr="002957A7">
        <w:rPr>
          <w:color w:val="FF0000"/>
          <w:szCs w:val="20"/>
        </w:rPr>
        <w:t xml:space="preserve">chúng tôi đã </w:t>
      </w:r>
      <w:r w:rsidR="00E87489" w:rsidRPr="002957A7">
        <w:rPr>
          <w:color w:val="FF0000"/>
          <w:szCs w:val="20"/>
        </w:rPr>
        <w:t xml:space="preserve">khảo sát </w:t>
      </w:r>
      <w:r w:rsidRPr="002957A7">
        <w:rPr>
          <w:color w:val="FF0000"/>
          <w:szCs w:val="20"/>
        </w:rPr>
        <w:t xml:space="preserve">được </w:t>
      </w:r>
      <w:r w:rsidR="00BF3AAD" w:rsidRPr="002957A7">
        <w:rPr>
          <w:color w:val="FF0000"/>
          <w:szCs w:val="20"/>
        </w:rPr>
        <w:t xml:space="preserve">ảnh hưởng của pH môi trường đến hoạt lực lên men của chủng này, </w:t>
      </w:r>
      <w:r w:rsidRPr="002957A7">
        <w:rPr>
          <w:color w:val="FF0000"/>
          <w:szCs w:val="20"/>
        </w:rPr>
        <w:t xml:space="preserve">qua đó </w:t>
      </w:r>
      <w:r w:rsidR="00BF3AAD" w:rsidRPr="002957A7">
        <w:rPr>
          <w:color w:val="FF0000"/>
          <w:szCs w:val="20"/>
        </w:rPr>
        <w:t xml:space="preserve">đã </w:t>
      </w:r>
      <w:r w:rsidRPr="002957A7">
        <w:rPr>
          <w:color w:val="FF0000"/>
          <w:szCs w:val="20"/>
        </w:rPr>
        <w:t>xác định được</w:t>
      </w:r>
      <w:r w:rsidR="00E87489" w:rsidRPr="002957A7">
        <w:rPr>
          <w:color w:val="FF0000"/>
          <w:szCs w:val="20"/>
        </w:rPr>
        <w:t xml:space="preserve"> pH tối ưu cho quá trìn</w:t>
      </w:r>
      <w:r w:rsidR="00BF3AAD" w:rsidRPr="002957A7">
        <w:rPr>
          <w:color w:val="FF0000"/>
          <w:szCs w:val="20"/>
        </w:rPr>
        <w:t xml:space="preserve">h lên men rượu </w:t>
      </w:r>
      <w:r w:rsidRPr="002957A7">
        <w:rPr>
          <w:color w:val="FF0000"/>
          <w:szCs w:val="20"/>
        </w:rPr>
        <w:t>đ</w:t>
      </w:r>
      <w:r w:rsidR="00D54790" w:rsidRPr="002957A7">
        <w:rPr>
          <w:color w:val="FF0000"/>
          <w:szCs w:val="20"/>
        </w:rPr>
        <w:t>oác</w:t>
      </w:r>
      <w:r w:rsidR="00A04119" w:rsidRPr="002957A7">
        <w:rPr>
          <w:color w:val="FF0000"/>
          <w:szCs w:val="20"/>
        </w:rPr>
        <w:t xml:space="preserve"> là 4,5</w:t>
      </w:r>
      <w:r w:rsidR="00D54790" w:rsidRPr="002957A7">
        <w:rPr>
          <w:color w:val="FF0000"/>
          <w:szCs w:val="20"/>
        </w:rPr>
        <w:t>.</w:t>
      </w:r>
    </w:p>
    <w:p w14:paraId="13AC7E57" w14:textId="77777777" w:rsidR="00DD3B94" w:rsidRPr="00DD3B94" w:rsidRDefault="00DD3B94" w:rsidP="00DD3B94">
      <w:pPr>
        <w:jc w:val="center"/>
        <w:rPr>
          <w:b/>
        </w:rPr>
      </w:pPr>
      <w:r w:rsidRPr="00DD3B94">
        <w:rPr>
          <w:b/>
        </w:rPr>
        <w:lastRenderedPageBreak/>
        <w:t>Tài liệu tham khảo</w:t>
      </w:r>
    </w:p>
    <w:p w14:paraId="166A8615" w14:textId="40FBEC20" w:rsidR="004C7EA2" w:rsidRPr="00AF164A" w:rsidRDefault="004C7EA2" w:rsidP="00AF164A">
      <w:pPr>
        <w:pStyle w:val="10TiliuthamkhoNidung"/>
        <w:rPr>
          <w:szCs w:val="16"/>
          <w:vertAlign w:val="subscript"/>
        </w:rPr>
      </w:pPr>
      <w:r w:rsidRPr="00DD3B94">
        <w:rPr>
          <w:noProof/>
        </w:rPr>
        <w:t xml:space="preserve">Lê Thanh Mai và cộng sự (2009), </w:t>
      </w:r>
      <w:r w:rsidRPr="00DD3B94">
        <w:rPr>
          <w:i/>
          <w:noProof/>
        </w:rPr>
        <w:t>Các Phương Pháp Phân Tích Ngành Công Nghệ Lên Men</w:t>
      </w:r>
      <w:r w:rsidRPr="00DD3B94">
        <w:rPr>
          <w:noProof/>
        </w:rPr>
        <w:t>, NXB Khoa Học Kỹ Thuật, Hà Nội.</w:t>
      </w:r>
    </w:p>
    <w:p w14:paraId="0FA69D5D" w14:textId="61F299D1" w:rsidR="004C7EA2" w:rsidRPr="0007601A" w:rsidRDefault="004C7EA2" w:rsidP="004C7EA2">
      <w:pPr>
        <w:pStyle w:val="10TiliuthamkhoNidung"/>
        <w:rPr>
          <w:sz w:val="24"/>
          <w:szCs w:val="24"/>
        </w:rPr>
      </w:pPr>
      <w:r w:rsidRPr="00AF164A">
        <w:rPr>
          <w:sz w:val="24"/>
          <w:szCs w:val="24"/>
          <w:vertAlign w:val="subscript"/>
        </w:rPr>
        <w:t>Lê Văn Việt Mẫn</w:t>
      </w:r>
      <w:r w:rsidR="00A745BF">
        <w:rPr>
          <w:sz w:val="24"/>
          <w:szCs w:val="24"/>
          <w:vertAlign w:val="subscript"/>
        </w:rPr>
        <w:t>(2011)</w:t>
      </w:r>
      <w:r w:rsidRPr="00AF164A">
        <w:rPr>
          <w:sz w:val="24"/>
          <w:szCs w:val="24"/>
          <w:vertAlign w:val="subscript"/>
        </w:rPr>
        <w:t xml:space="preserve">, </w:t>
      </w:r>
      <w:r w:rsidRPr="00AF164A">
        <w:rPr>
          <w:i/>
          <w:sz w:val="24"/>
          <w:szCs w:val="24"/>
          <w:vertAlign w:val="subscript"/>
        </w:rPr>
        <w:t>Công nghệ sản xuất rượu vang,</w:t>
      </w:r>
      <w:r w:rsidRPr="00AF164A">
        <w:rPr>
          <w:sz w:val="24"/>
          <w:szCs w:val="24"/>
          <w:vertAlign w:val="subscript"/>
        </w:rPr>
        <w:t xml:space="preserve"> NXB Đại Học</w:t>
      </w:r>
      <w:r w:rsidR="00D3518F">
        <w:rPr>
          <w:sz w:val="24"/>
          <w:szCs w:val="24"/>
          <w:vertAlign w:val="subscript"/>
        </w:rPr>
        <w:t xml:space="preserve"> Quốc Gia TP Hồ Chí Minh, tr</w:t>
      </w:r>
      <w:r w:rsidRPr="00AF164A">
        <w:rPr>
          <w:sz w:val="24"/>
          <w:szCs w:val="24"/>
          <w:vertAlign w:val="subscript"/>
        </w:rPr>
        <w:t>411</w:t>
      </w:r>
      <w:r>
        <w:rPr>
          <w:sz w:val="24"/>
          <w:szCs w:val="24"/>
          <w:vertAlign w:val="subscript"/>
        </w:rPr>
        <w:t>.</w:t>
      </w:r>
    </w:p>
    <w:p w14:paraId="05EFA213" w14:textId="77777777" w:rsidR="004C7EA2" w:rsidRPr="00C04DAF" w:rsidRDefault="004C7EA2" w:rsidP="004C7EA2">
      <w:pPr>
        <w:pStyle w:val="10TiliuthamkhoNidung"/>
      </w:pPr>
      <w:r w:rsidRPr="00C04DAF">
        <w:rPr>
          <w:noProof/>
        </w:rPr>
        <w:t xml:space="preserve"> Phan Văn Sở, Bùi Thị Như Thuận (1991), </w:t>
      </w:r>
      <w:r w:rsidRPr="00C04DAF">
        <w:rPr>
          <w:i/>
          <w:noProof/>
        </w:rPr>
        <w:t>Kiểm nghiệm lương thực, thực phẩm</w:t>
      </w:r>
      <w:r w:rsidRPr="00C04DAF">
        <w:rPr>
          <w:noProof/>
        </w:rPr>
        <w:t>, NXB Khoa Học Kỹ Thuật, Hà Nội, tr. 573-574</w:t>
      </w:r>
      <w:r>
        <w:rPr>
          <w:noProof/>
        </w:rPr>
        <w:t>.</w:t>
      </w:r>
    </w:p>
    <w:p w14:paraId="55296999" w14:textId="77777777" w:rsidR="004C7EA2" w:rsidRDefault="004C7EA2" w:rsidP="004C7EA2">
      <w:pPr>
        <w:pStyle w:val="10TiliuthamkhoNidung"/>
      </w:pPr>
      <w:r w:rsidRPr="00DD3B94">
        <w:t xml:space="preserve">Nguyễn Thị Hồng Thu (2013), </w:t>
      </w:r>
      <w:r w:rsidRPr="00C04DAF">
        <w:rPr>
          <w:i/>
        </w:rPr>
        <w:t>Nghiên cứu sản xuất rượu tà vạt từ dịch nhựa cây búng báng</w:t>
      </w:r>
      <w:r w:rsidRPr="00C04DAF">
        <w:rPr>
          <w:b/>
        </w:rPr>
        <w:t xml:space="preserve">, </w:t>
      </w:r>
      <w:r w:rsidRPr="00C04DAF">
        <w:t>Luận văn thạc sĩ kỹ thuật, Đại Học Quốc Gia TP.Hồ Chí Minh.</w:t>
      </w:r>
    </w:p>
    <w:p w14:paraId="30C5035A" w14:textId="77777777" w:rsidR="004C7EA2" w:rsidRDefault="004C7EA2" w:rsidP="004C7EA2">
      <w:pPr>
        <w:pStyle w:val="10TiliuthamkhoNidung"/>
      </w:pPr>
      <w:r w:rsidRPr="00C04DAF">
        <w:t xml:space="preserve">Lê Ngọc Tú, La Văn Chứ, Đặng Thị Thu, Nguyễn Thị Thịnh, Bùi Đức Hợi, Lê Doãn Diên (2004), </w:t>
      </w:r>
      <w:r w:rsidRPr="00C04DAF">
        <w:rPr>
          <w:i/>
        </w:rPr>
        <w:t>Hóa sinh công nghiệp</w:t>
      </w:r>
      <w:r w:rsidRPr="00C04DAF">
        <w:t>, NXB Khoa Học Kỹ Thuật, Hà Nội.</w:t>
      </w:r>
    </w:p>
    <w:p w14:paraId="111E5556" w14:textId="77777777" w:rsidR="004C7EA2" w:rsidRPr="0051264B" w:rsidRDefault="004C7EA2" w:rsidP="004C7EA2">
      <w:pPr>
        <w:pStyle w:val="10TiliuthamkhoNidung"/>
      </w:pPr>
      <w:r w:rsidRPr="00C04DAF">
        <w:t xml:space="preserve">TCVN 4320-86, </w:t>
      </w:r>
      <w:r w:rsidRPr="0051264B">
        <w:rPr>
          <w:i/>
        </w:rPr>
        <w:t>Phương pháp chuẩn bị các dung dịch đệm.</w:t>
      </w:r>
    </w:p>
    <w:p w14:paraId="53BC7C36" w14:textId="77777777" w:rsidR="004C7EA2" w:rsidRPr="00C04DAF" w:rsidRDefault="004C7EA2" w:rsidP="004C7EA2">
      <w:pPr>
        <w:pStyle w:val="10TiliuthamkhoNidung"/>
      </w:pPr>
      <w:r w:rsidRPr="00C04DAF">
        <w:t xml:space="preserve">A.O.A.C. (2000), </w:t>
      </w:r>
      <w:r w:rsidRPr="00C04DAF">
        <w:rPr>
          <w:i/>
        </w:rPr>
        <w:t>Official Methods of Analysis. Association of Official Analytical Chemists</w:t>
      </w:r>
      <w:r w:rsidRPr="00C04DAF">
        <w:t>. 17</w:t>
      </w:r>
      <w:r w:rsidRPr="00C04DAF">
        <w:rPr>
          <w:vertAlign w:val="superscript"/>
        </w:rPr>
        <w:t>th</w:t>
      </w:r>
      <w:r>
        <w:t xml:space="preserve"> ed. </w:t>
      </w:r>
      <w:r w:rsidRPr="00C04DAF">
        <w:t>Gaithersburg, Maryland, U.S.A.</w:t>
      </w:r>
    </w:p>
    <w:p w14:paraId="5916B03B" w14:textId="3C70C68A" w:rsidR="00BE3826" w:rsidRPr="00BE3826" w:rsidRDefault="004C7EA2" w:rsidP="00BE3826">
      <w:pPr>
        <w:pStyle w:val="10TiliuthamkhoNidung"/>
        <w:rPr>
          <w:noProof/>
        </w:rPr>
      </w:pPr>
      <w:r w:rsidRPr="00C04DAF">
        <w:t>Alexander J. Pandell (1999), “</w:t>
      </w:r>
      <w:r w:rsidRPr="00D3518F">
        <w:rPr>
          <w:i/>
        </w:rPr>
        <w:t>The acidity of wine</w:t>
      </w:r>
      <w:r w:rsidRPr="00C04DAF">
        <w:t>”,</w:t>
      </w:r>
      <w:r w:rsidRPr="00C04DAF">
        <w:rPr>
          <w:i/>
        </w:rPr>
        <w:t xml:space="preserve"> </w:t>
      </w:r>
      <w:r w:rsidR="00D3518F" w:rsidRPr="00D3518F">
        <w:rPr>
          <w:noProof/>
        </w:rPr>
        <w:t>United Kingdom</w:t>
      </w:r>
      <w:r w:rsidR="00D3518F">
        <w:rPr>
          <w:i/>
          <w:noProof/>
        </w:rPr>
        <w:t>.</w:t>
      </w:r>
    </w:p>
    <w:p w14:paraId="5E499A54" w14:textId="1126C649" w:rsidR="00BE3826" w:rsidRPr="00BE3826" w:rsidRDefault="00BE3826" w:rsidP="00BE3826">
      <w:pPr>
        <w:pStyle w:val="10TiliuthamkhoNidung"/>
        <w:rPr>
          <w:rFonts w:cstheme="minorHAnsi"/>
          <w:bCs/>
          <w:sz w:val="18"/>
          <w:szCs w:val="18"/>
        </w:rPr>
      </w:pPr>
      <w:r>
        <w:t>John William Henry Eyre, (2009). “</w:t>
      </w:r>
      <w:r w:rsidRPr="00BE3826">
        <w:rPr>
          <w:i/>
        </w:rPr>
        <w:t>A Laboratory Guide for Medical, Dental, and Technical Students</w:t>
      </w:r>
      <w:r w:rsidRPr="00BE3826">
        <w:t>”</w:t>
      </w:r>
      <w:r>
        <w:t xml:space="preserve">. </w:t>
      </w:r>
      <w:r w:rsidRPr="000A139C">
        <w:rPr>
          <w:rFonts w:cstheme="minorHAnsi"/>
          <w:bCs/>
          <w:szCs w:val="16"/>
        </w:rPr>
        <w:t xml:space="preserve">Published by </w:t>
      </w:r>
      <w:hyperlink r:id="rId21" w:tooltip="Show for other books from W. B. Saunders" w:history="1">
        <w:r w:rsidRPr="000A139C">
          <w:rPr>
            <w:rStyle w:val="Hyperlink"/>
            <w:rFonts w:cstheme="minorHAnsi"/>
            <w:bCs/>
            <w:color w:val="auto"/>
            <w:szCs w:val="16"/>
            <w:u w:val="none"/>
          </w:rPr>
          <w:t>W.B.Saunders</w:t>
        </w:r>
      </w:hyperlink>
      <w:r w:rsidRPr="000A139C">
        <w:rPr>
          <w:rStyle w:val="apple-converted-space"/>
          <w:rFonts w:cstheme="minorHAnsi"/>
          <w:bCs/>
          <w:szCs w:val="16"/>
        </w:rPr>
        <w:t> </w:t>
      </w:r>
      <w:r w:rsidRPr="000A139C">
        <w:rPr>
          <w:rFonts w:cstheme="minorHAnsi"/>
          <w:bCs/>
          <w:szCs w:val="16"/>
        </w:rPr>
        <w:t>in</w:t>
      </w:r>
      <w:r w:rsidRPr="000A139C">
        <w:rPr>
          <w:rStyle w:val="apple-converted-space"/>
          <w:rFonts w:cstheme="minorHAnsi"/>
          <w:bCs/>
          <w:szCs w:val="16"/>
        </w:rPr>
        <w:t> </w:t>
      </w:r>
      <w:hyperlink r:id="rId22" w:tooltip="Search for subjects about Philadelphia" w:history="1">
        <w:r w:rsidRPr="000A139C">
          <w:rPr>
            <w:rStyle w:val="Hyperlink"/>
            <w:rFonts w:cstheme="minorHAnsi"/>
            <w:bCs/>
            <w:color w:val="auto"/>
            <w:szCs w:val="16"/>
            <w:u w:val="none"/>
          </w:rPr>
          <w:t>Philadelphia</w:t>
        </w:r>
      </w:hyperlink>
      <w:r w:rsidRPr="000A139C">
        <w:rPr>
          <w:rFonts w:cstheme="minorHAnsi"/>
          <w:bCs/>
          <w:szCs w:val="16"/>
        </w:rPr>
        <w:t>,</w:t>
      </w:r>
      <w:r w:rsidRPr="000A139C">
        <w:rPr>
          <w:rStyle w:val="apple-converted-space"/>
          <w:rFonts w:cstheme="minorHAnsi"/>
          <w:bCs/>
          <w:szCs w:val="16"/>
        </w:rPr>
        <w:t xml:space="preserve"> </w:t>
      </w:r>
      <w:hyperlink r:id="rId23" w:tooltip="Search for subjects about London" w:history="1">
        <w:r w:rsidRPr="000A139C">
          <w:rPr>
            <w:rStyle w:val="Hyperlink"/>
            <w:rFonts w:cstheme="minorHAnsi"/>
            <w:bCs/>
            <w:color w:val="auto"/>
            <w:szCs w:val="16"/>
            <w:u w:val="none"/>
          </w:rPr>
          <w:t>London</w:t>
        </w:r>
      </w:hyperlink>
      <w:r w:rsidRPr="000A139C">
        <w:rPr>
          <w:rStyle w:val="apple-converted-space"/>
          <w:rFonts w:cstheme="minorHAnsi"/>
          <w:bCs/>
          <w:szCs w:val="16"/>
        </w:rPr>
        <w:t> </w:t>
      </w:r>
      <w:r w:rsidRPr="000A139C">
        <w:rPr>
          <w:rFonts w:cstheme="minorHAnsi"/>
          <w:bCs/>
          <w:szCs w:val="16"/>
        </w:rPr>
        <w:t>Written in</w:t>
      </w:r>
      <w:r w:rsidRPr="000A139C">
        <w:rPr>
          <w:rStyle w:val="apple-converted-space"/>
          <w:rFonts w:cstheme="minorHAnsi"/>
          <w:bCs/>
          <w:szCs w:val="16"/>
        </w:rPr>
        <w:t> </w:t>
      </w:r>
      <w:hyperlink r:id="rId24" w:history="1">
        <w:r w:rsidRPr="000A139C">
          <w:rPr>
            <w:rStyle w:val="Hyperlink"/>
            <w:rFonts w:cstheme="minorHAnsi"/>
            <w:bCs/>
            <w:color w:val="auto"/>
            <w:szCs w:val="16"/>
            <w:u w:val="none"/>
          </w:rPr>
          <w:t>English</w:t>
        </w:r>
      </w:hyperlink>
      <w:r w:rsidRPr="00BE3826">
        <w:rPr>
          <w:rFonts w:cstheme="minorHAnsi"/>
          <w:bCs/>
          <w:sz w:val="18"/>
          <w:szCs w:val="18"/>
        </w:rPr>
        <w:t>.</w:t>
      </w:r>
    </w:p>
    <w:p w14:paraId="48EE1E5C" w14:textId="77777777" w:rsidR="004C7EA2" w:rsidRPr="00C04DAF" w:rsidRDefault="004C7EA2" w:rsidP="004C7EA2">
      <w:pPr>
        <w:pStyle w:val="10TiliuthamkhoNidung"/>
      </w:pPr>
      <w:r w:rsidRPr="00C04DAF">
        <w:rPr>
          <w:noProof/>
        </w:rPr>
        <w:t xml:space="preserve">Sadler, G. D.  and Murphy, P. A(2010), "pH and Titratable Acidity," in </w:t>
      </w:r>
      <w:r w:rsidRPr="00C04DAF">
        <w:rPr>
          <w:i/>
          <w:noProof/>
        </w:rPr>
        <w:t>Food Analysis</w:t>
      </w:r>
      <w:r>
        <w:rPr>
          <w:noProof/>
        </w:rPr>
        <w:t xml:space="preserve">, 4th ed. S. S. Nielsen, Ed. </w:t>
      </w:r>
      <w:r w:rsidRPr="00C04DAF">
        <w:rPr>
          <w:noProof/>
        </w:rPr>
        <w:t>USA: Springer, pp. 227-232.</w:t>
      </w:r>
    </w:p>
    <w:p w14:paraId="5F91230E" w14:textId="70E6EA97" w:rsidR="00FD1A1A" w:rsidRDefault="00A745BF" w:rsidP="004C7EA2">
      <w:pPr>
        <w:pStyle w:val="10TiliuthamkhoNidung"/>
      </w:pPr>
      <w:r>
        <w:rPr>
          <w:szCs w:val="16"/>
          <w:lang w:val="en" w:eastAsia="ja-JP"/>
        </w:rPr>
        <w:t>Nguyen, T. M. Ngoc</w:t>
      </w:r>
      <w:r w:rsidR="00FD1A1A">
        <w:rPr>
          <w:szCs w:val="16"/>
          <w:lang w:val="en" w:eastAsia="ja-JP"/>
        </w:rPr>
        <w:t xml:space="preserve"> (2014),</w:t>
      </w:r>
      <w:r w:rsidR="00FD1A1A" w:rsidRPr="00FD1A1A">
        <w:rPr>
          <w:szCs w:val="16"/>
          <w:lang w:val="en" w:eastAsia="ja-JP"/>
        </w:rPr>
        <w:t xml:space="preserve"> ”Different processing conditions affect palm (thot not) wine fermentation”, Vietnam National University HCM, University of Technology, Vietnam. </w:t>
      </w:r>
      <w:r w:rsidR="00FD1A1A" w:rsidRPr="00FD1A1A">
        <w:rPr>
          <w:i/>
          <w:iCs/>
          <w:szCs w:val="16"/>
          <w:lang w:val="en" w:eastAsia="ja-JP"/>
        </w:rPr>
        <w:t>American Journal of Research Communication</w:t>
      </w:r>
      <w:r w:rsidR="00FD1A1A">
        <w:rPr>
          <w:noProof/>
        </w:rPr>
        <w:t>.</w:t>
      </w:r>
    </w:p>
    <w:p w14:paraId="5B8444D1" w14:textId="0049C06B" w:rsidR="004C7EA2" w:rsidRDefault="004C7EA2" w:rsidP="004C7EA2">
      <w:pPr>
        <w:pStyle w:val="10TiliuthamkhoNidung"/>
      </w:pPr>
      <w:r w:rsidRPr="00C04DAF">
        <w:rPr>
          <w:noProof/>
        </w:rPr>
        <w:t>Tahir</w:t>
      </w:r>
      <w:r w:rsidR="00A745BF">
        <w:rPr>
          <w:i/>
          <w:noProof/>
        </w:rPr>
        <w:t xml:space="preserve"> et al</w:t>
      </w:r>
      <w:r w:rsidR="00A745BF">
        <w:rPr>
          <w:noProof/>
        </w:rPr>
        <w:t xml:space="preserve"> </w:t>
      </w:r>
      <w:r w:rsidRPr="00C04DAF">
        <w:rPr>
          <w:noProof/>
        </w:rPr>
        <w:t xml:space="preserve">(2010), "Effect of cultural conditions on ethanol production by locally isolated </w:t>
      </w:r>
      <w:r w:rsidRPr="00C04DAF">
        <w:rPr>
          <w:i/>
          <w:noProof/>
        </w:rPr>
        <w:t>Saccharomyces cerevisiae Bio-07</w:t>
      </w:r>
      <w:r w:rsidRPr="00C04DAF">
        <w:rPr>
          <w:noProof/>
        </w:rPr>
        <w:t xml:space="preserve">." </w:t>
      </w:r>
      <w:r w:rsidRPr="00C04DAF">
        <w:rPr>
          <w:i/>
          <w:noProof/>
        </w:rPr>
        <w:t xml:space="preserve">J App Pharm. </w:t>
      </w:r>
      <w:r w:rsidRPr="00C04DAF">
        <w:rPr>
          <w:noProof/>
        </w:rPr>
        <w:t>3(2), pp. 72-78.</w:t>
      </w:r>
    </w:p>
    <w:p w14:paraId="7C50F5A4" w14:textId="77777777" w:rsidR="004C7EA2" w:rsidRPr="003D017B" w:rsidRDefault="004C7EA2" w:rsidP="004C7EA2">
      <w:pPr>
        <w:pStyle w:val="10TiliuthamkhoNidung"/>
      </w:pPr>
      <w:r>
        <w:t xml:space="preserve">Tataridis, P., </w:t>
      </w:r>
      <w:r w:rsidRPr="009053AB">
        <w:t>Ntaga</w:t>
      </w:r>
      <w:r>
        <w:t xml:space="preserve">s, I.Voulgaris, E.T. Nerantzis (2004), </w:t>
      </w:r>
      <w:r w:rsidRPr="00EB0443">
        <w:t xml:space="preserve"> “Production of sparkling wine with immobilized yeast fermentation”</w:t>
      </w:r>
      <w:r>
        <w:t>,</w:t>
      </w:r>
      <w:r w:rsidRPr="000B7210">
        <w:t xml:space="preserve"> </w:t>
      </w:r>
      <w:r>
        <w:t xml:space="preserve"> </w:t>
      </w:r>
      <w:r w:rsidRPr="00EB0443">
        <w:rPr>
          <w:i/>
        </w:rPr>
        <w:t>Technological Educational Institution of Athens, Department of Oenology and Beverage Technology, Ag. Spyridona Street</w:t>
      </w:r>
      <w:r w:rsidRPr="009053AB">
        <w:t>, 12210 Aegaleo, Greece.</w:t>
      </w:r>
    </w:p>
    <w:p w14:paraId="48EC8E1D" w14:textId="77777777" w:rsidR="004C7EA2" w:rsidRDefault="004C7EA2" w:rsidP="004C7EA2"/>
    <w:p w14:paraId="3614B9FD" w14:textId="77777777" w:rsidR="004C7EA2" w:rsidRPr="00BE3826" w:rsidRDefault="004C7EA2" w:rsidP="004C7EA2">
      <w:pPr>
        <w:rPr>
          <w:sz w:val="18"/>
          <w:szCs w:val="18"/>
        </w:rPr>
        <w:sectPr w:rsidR="004C7EA2" w:rsidRPr="00BE3826" w:rsidSect="004C7EA2">
          <w:type w:val="continuous"/>
          <w:pgSz w:w="10773" w:h="15026" w:code="9"/>
          <w:pgMar w:top="567" w:right="567" w:bottom="567" w:left="567" w:header="284" w:footer="284" w:gutter="0"/>
          <w:cols w:num="2" w:space="283"/>
          <w:docGrid w:linePitch="360"/>
        </w:sectPr>
      </w:pPr>
    </w:p>
    <w:p w14:paraId="4F03FE8B" w14:textId="77777777" w:rsidR="009818AE" w:rsidRDefault="009818AE" w:rsidP="00F24771">
      <w:pPr>
        <w:jc w:val="right"/>
      </w:pPr>
    </w:p>
    <w:p w14:paraId="7123B250" w14:textId="77777777" w:rsidR="00524414" w:rsidRDefault="00524414" w:rsidP="00524414"/>
    <w:p w14:paraId="028AED7F" w14:textId="77777777" w:rsidR="00524414" w:rsidRDefault="00524414" w:rsidP="00524414"/>
    <w:p w14:paraId="26C5DC42" w14:textId="7751ACFE" w:rsidR="00524414" w:rsidRDefault="00524414" w:rsidP="00524414">
      <w:r>
        <w:t>PHẦN LIỆT KÊ CÁC CHỈNH SỬA VÀ GIẢI TRÌNH CỦA NHÓM TÁC GIẢ</w:t>
      </w:r>
    </w:p>
    <w:p w14:paraId="0F9F8F85" w14:textId="375A74FB" w:rsidR="00524414" w:rsidRDefault="00524414" w:rsidP="00524414">
      <w:r>
        <w:t xml:space="preserve">Chúng tôi trân trọng các ý kiến phản biện </w:t>
      </w:r>
      <w:r w:rsidR="007154F8">
        <w:t>và đã chỉnh sửa theo yêu cầu</w:t>
      </w:r>
      <w:r>
        <w:t>:</w:t>
      </w:r>
    </w:p>
    <w:p w14:paraId="080FA513" w14:textId="77777777" w:rsidR="007154F8" w:rsidRPr="004A701A" w:rsidRDefault="007154F8" w:rsidP="007154F8">
      <w:pPr>
        <w:pStyle w:val="ListParagraph"/>
        <w:numPr>
          <w:ilvl w:val="0"/>
          <w:numId w:val="50"/>
        </w:numPr>
        <w:rPr>
          <w:rFonts w:asciiTheme="minorHAnsi" w:hAnsiTheme="minorHAnsi" w:cstheme="minorHAnsi"/>
          <w:szCs w:val="20"/>
          <w:shd w:val="clear" w:color="auto" w:fill="FFFFFF"/>
        </w:rPr>
      </w:pPr>
      <w:r w:rsidRPr="004A701A">
        <w:rPr>
          <w:rFonts w:asciiTheme="minorHAnsi" w:hAnsiTheme="minorHAnsi" w:cstheme="minorHAnsi"/>
          <w:szCs w:val="20"/>
          <w:shd w:val="clear" w:color="auto" w:fill="FFFFFF"/>
        </w:rPr>
        <w:t xml:space="preserve">Chất lượng của dịch đoác trước khi lên men thì nhìn vào đồ thị ở ngày 0, sẽ có kết quả là:  Brix = </w:t>
      </w:r>
      <w:r w:rsidRPr="004A701A">
        <w:rPr>
          <w:szCs w:val="20"/>
        </w:rPr>
        <w:t>12,74 %;  pH = 7,93; Acid tổng số = 0,125; đường tổng = 10,83%</w:t>
      </w:r>
      <w:r>
        <w:rPr>
          <w:szCs w:val="20"/>
        </w:rPr>
        <w:t>.</w:t>
      </w:r>
    </w:p>
    <w:p w14:paraId="4729D7E5" w14:textId="38E4B342" w:rsidR="00004736" w:rsidRPr="004A701A" w:rsidRDefault="00004736" w:rsidP="00004736">
      <w:pPr>
        <w:pStyle w:val="ListParagraph"/>
        <w:numPr>
          <w:ilvl w:val="0"/>
          <w:numId w:val="50"/>
        </w:numPr>
        <w:rPr>
          <w:rFonts w:asciiTheme="minorHAnsi" w:hAnsiTheme="minorHAnsi" w:cstheme="minorHAnsi"/>
          <w:szCs w:val="20"/>
          <w:shd w:val="clear" w:color="auto" w:fill="FFFFFF"/>
        </w:rPr>
      </w:pPr>
      <w:r w:rsidRPr="004A701A">
        <w:rPr>
          <w:rFonts w:asciiTheme="minorHAnsi" w:hAnsiTheme="minorHAnsi" w:cstheme="minorHAnsi"/>
          <w:szCs w:val="20"/>
          <w:shd w:val="clear" w:color="auto" w:fill="FFFFFF"/>
        </w:rPr>
        <w:t>Đã biện luận thêm khi lên men ở nhiệt độ phòng</w:t>
      </w:r>
      <w:r w:rsidR="00DD665D" w:rsidRPr="004A701A">
        <w:rPr>
          <w:rFonts w:asciiTheme="minorHAnsi" w:hAnsiTheme="minorHAnsi" w:cstheme="minorHAnsi"/>
          <w:szCs w:val="20"/>
          <w:shd w:val="clear" w:color="auto" w:fill="FFFFFF"/>
        </w:rPr>
        <w:t>.</w:t>
      </w:r>
    </w:p>
    <w:p w14:paraId="2832F210" w14:textId="1A83446C" w:rsidR="00004736" w:rsidRPr="004A701A" w:rsidRDefault="00004736" w:rsidP="00004736">
      <w:pPr>
        <w:pStyle w:val="ListParagraph"/>
        <w:numPr>
          <w:ilvl w:val="0"/>
          <w:numId w:val="50"/>
        </w:numPr>
        <w:rPr>
          <w:rFonts w:asciiTheme="minorHAnsi" w:hAnsiTheme="minorHAnsi" w:cstheme="minorHAnsi"/>
          <w:szCs w:val="20"/>
          <w:shd w:val="clear" w:color="auto" w:fill="FFFFFF"/>
        </w:rPr>
      </w:pPr>
      <w:r w:rsidRPr="004A701A">
        <w:rPr>
          <w:rFonts w:asciiTheme="minorHAnsi" w:hAnsiTheme="minorHAnsi" w:cstheme="minorHAnsi"/>
          <w:szCs w:val="20"/>
          <w:shd w:val="clear" w:color="auto" w:fill="FFFFFF"/>
        </w:rPr>
        <w:t>Đã chỉnh sửa thống nhất đường sót, và độ cồn</w:t>
      </w:r>
      <w:r w:rsidR="00DD665D" w:rsidRPr="004A701A">
        <w:rPr>
          <w:rFonts w:asciiTheme="minorHAnsi" w:hAnsiTheme="minorHAnsi" w:cstheme="minorHAnsi"/>
          <w:szCs w:val="20"/>
          <w:shd w:val="clear" w:color="auto" w:fill="FFFFFF"/>
        </w:rPr>
        <w:t>.</w:t>
      </w:r>
    </w:p>
    <w:p w14:paraId="74E89AA4" w14:textId="77777777" w:rsidR="007154F8" w:rsidRPr="004A701A" w:rsidRDefault="007154F8" w:rsidP="007154F8">
      <w:pPr>
        <w:pStyle w:val="ListParagraph"/>
        <w:numPr>
          <w:ilvl w:val="0"/>
          <w:numId w:val="50"/>
        </w:numPr>
        <w:rPr>
          <w:rFonts w:asciiTheme="minorHAnsi" w:hAnsiTheme="minorHAnsi" w:cstheme="minorHAnsi"/>
          <w:szCs w:val="20"/>
          <w:shd w:val="clear" w:color="auto" w:fill="FFFFFF"/>
        </w:rPr>
      </w:pPr>
      <w:r w:rsidRPr="004A701A">
        <w:rPr>
          <w:rFonts w:asciiTheme="minorHAnsi" w:hAnsiTheme="minorHAnsi" w:cstheme="minorHAnsi"/>
          <w:szCs w:val="20"/>
          <w:shd w:val="clear" w:color="auto" w:fill="FFFFFF"/>
        </w:rPr>
        <w:t>Đã chỉnh bảng 1 và bảng 2 vào giữa.</w:t>
      </w:r>
    </w:p>
    <w:p w14:paraId="1297A45C" w14:textId="49571441" w:rsidR="00DD665D" w:rsidRPr="004A701A" w:rsidRDefault="00004736" w:rsidP="000B5213">
      <w:pPr>
        <w:pStyle w:val="ListParagraph"/>
        <w:numPr>
          <w:ilvl w:val="0"/>
          <w:numId w:val="50"/>
        </w:numPr>
        <w:rPr>
          <w:rFonts w:asciiTheme="minorHAnsi" w:hAnsiTheme="minorHAnsi" w:cstheme="minorHAnsi"/>
          <w:szCs w:val="20"/>
          <w:shd w:val="clear" w:color="auto" w:fill="FFFFFF"/>
        </w:rPr>
      </w:pPr>
      <w:r w:rsidRPr="004A701A">
        <w:rPr>
          <w:rFonts w:asciiTheme="minorHAnsi" w:hAnsiTheme="minorHAnsi" w:cstheme="minorHAnsi"/>
          <w:szCs w:val="20"/>
          <w:shd w:val="clear" w:color="auto" w:fill="FFFFFF"/>
        </w:rPr>
        <w:t>Đã thêm biện luận</w:t>
      </w:r>
      <w:r w:rsidR="00DD665D" w:rsidRPr="004A701A">
        <w:rPr>
          <w:rFonts w:asciiTheme="minorHAnsi" w:hAnsiTheme="minorHAnsi" w:cstheme="minorHAnsi"/>
          <w:szCs w:val="20"/>
          <w:shd w:val="clear" w:color="auto" w:fill="FFFFFF"/>
        </w:rPr>
        <w:t xml:space="preserve"> tại sao tác giả lại phải khảo sát pH với quá nhiều thí nghiệm qua các mốc thời gian 24h,48h,72h trong khi kết quả ở đồ thị hình 2 đã cho thấy thời gian lên men dài nhất 96 h là tốt nhất rồi. </w:t>
      </w:r>
    </w:p>
    <w:p w14:paraId="494A10B4" w14:textId="38BDC484" w:rsidR="00004736" w:rsidRPr="004A701A" w:rsidRDefault="00DD665D" w:rsidP="00004736">
      <w:pPr>
        <w:pStyle w:val="ListParagraph"/>
        <w:numPr>
          <w:ilvl w:val="0"/>
          <w:numId w:val="50"/>
        </w:numPr>
        <w:rPr>
          <w:rFonts w:asciiTheme="minorHAnsi" w:hAnsiTheme="minorHAnsi" w:cstheme="minorHAnsi"/>
          <w:szCs w:val="20"/>
          <w:shd w:val="clear" w:color="auto" w:fill="FFFFFF"/>
        </w:rPr>
      </w:pPr>
      <w:r w:rsidRPr="004A701A">
        <w:rPr>
          <w:rFonts w:asciiTheme="minorHAnsi" w:hAnsiTheme="minorHAnsi" w:cstheme="minorHAnsi"/>
          <w:szCs w:val="20"/>
          <w:shd w:val="clear" w:color="auto" w:fill="FFFFFF"/>
        </w:rPr>
        <w:t>Đã chỉnh lại kết luận phù hợp.</w:t>
      </w:r>
    </w:p>
    <w:p w14:paraId="16CC4F95" w14:textId="77777777" w:rsidR="004A701A" w:rsidRPr="004A701A" w:rsidRDefault="004A701A" w:rsidP="004A701A">
      <w:pPr>
        <w:rPr>
          <w:rFonts w:ascii="Helvetica" w:hAnsi="Helvetica" w:cs="Helvetica"/>
          <w:szCs w:val="20"/>
          <w:shd w:val="clear" w:color="auto" w:fill="FEFEFE"/>
        </w:rPr>
      </w:pPr>
    </w:p>
    <w:p w14:paraId="4D8EB6DA" w14:textId="2BFC6E37" w:rsidR="00DD665D" w:rsidRPr="00DD665D" w:rsidRDefault="00DD665D" w:rsidP="004A701A">
      <w:pPr>
        <w:pStyle w:val="ListParagraph"/>
        <w:ind w:left="630" w:firstLine="0"/>
        <w:rPr>
          <w:rFonts w:asciiTheme="minorHAnsi" w:hAnsiTheme="minorHAnsi" w:cstheme="minorHAnsi"/>
          <w:color w:val="000080"/>
          <w:szCs w:val="20"/>
          <w:shd w:val="clear" w:color="auto" w:fill="FFFFFF"/>
        </w:rPr>
      </w:pPr>
    </w:p>
    <w:p w14:paraId="22495867" w14:textId="77777777" w:rsidR="00004736" w:rsidRDefault="00004736" w:rsidP="00DD665D">
      <w:pPr>
        <w:pStyle w:val="ListParagraph"/>
        <w:ind w:left="630" w:firstLine="0"/>
        <w:rPr>
          <w:rFonts w:asciiTheme="minorHAnsi" w:hAnsiTheme="minorHAnsi" w:cstheme="minorHAnsi"/>
          <w:szCs w:val="20"/>
        </w:rPr>
      </w:pPr>
    </w:p>
    <w:p w14:paraId="2AB71ADF" w14:textId="77777777" w:rsidR="00DD665D" w:rsidRPr="00760AD0" w:rsidRDefault="00DD665D" w:rsidP="00DD665D">
      <w:pPr>
        <w:pStyle w:val="ListParagraph"/>
        <w:ind w:left="630" w:firstLine="0"/>
        <w:rPr>
          <w:rFonts w:asciiTheme="minorHAnsi" w:hAnsiTheme="minorHAnsi" w:cstheme="minorHAnsi"/>
          <w:szCs w:val="20"/>
        </w:rPr>
      </w:pPr>
    </w:p>
    <w:sectPr w:rsidR="00DD665D" w:rsidRPr="00760AD0" w:rsidSect="00F20487">
      <w:type w:val="continuous"/>
      <w:pgSz w:w="10773" w:h="15026" w:code="9"/>
      <w:pgMar w:top="567" w:right="567" w:bottom="567" w:left="567" w:header="284" w:footer="284" w:gutter="0"/>
      <w:cols w:space="284"/>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7A9D5F7B" w14:textId="773B70CA" w:rsidR="00FB05FC" w:rsidRDefault="00FB05FC">
      <w:pPr>
        <w:pStyle w:val="CommentText"/>
      </w:pPr>
      <w:r>
        <w:rPr>
          <w:rStyle w:val="CommentReference"/>
        </w:rPr>
        <w:annotationRef/>
      </w:r>
      <w:r>
        <w:t>Đã chỉnh sửa chú thích trên đồ thị.</w:t>
      </w:r>
    </w:p>
  </w:comment>
  <w:comment w:id="4" w:author="Author" w:initials="A">
    <w:p w14:paraId="3E62F537" w14:textId="445A71C4" w:rsidR="00FB05FC" w:rsidRDefault="00FB05FC">
      <w:pPr>
        <w:pStyle w:val="CommentText"/>
      </w:pPr>
      <w:r>
        <w:rPr>
          <w:rStyle w:val="CommentReference"/>
        </w:rPr>
        <w:annotationRef/>
      </w:r>
      <w:r>
        <w:t>Đã chỉnh Bảng 1 và 2 vào giữa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9D5F7B" w15:done="0"/>
  <w15:commentEx w15:paraId="3E62F537" w15:done="0"/>
</w15:commentsEx>
</file>

<file path=word/customizations.xml><?xml version="1.0" encoding="utf-8"?>
<wne:tcg xmlns:r="http://schemas.openxmlformats.org/officeDocument/2006/relationships" xmlns:wne="http://schemas.microsoft.com/office/word/2006/wordml">
  <wne:keymaps>
    <wne:keymap wne:kcmPrimary="034E">
      <wne:acd wne:acdName="acd1"/>
    </wne:keymap>
    <wne:keymap wne:kcmPrimary="0430">
      <wne:acd wne:acdName="acd32"/>
    </wne:keymap>
    <wne:keymap wne:kcmPrimary="0431">
      <wne:acd wne:acdName="acd26"/>
    </wne:keymap>
    <wne:keymap wne:kcmPrimary="0432">
      <wne:acd wne:acdName="acd27"/>
    </wne:keymap>
    <wne:keymap wne:kcmPrimary="0433">
      <wne:acd wne:acdName="acd28"/>
    </wne:keymap>
    <wne:keymap wne:kcmPrimary="0434">
      <wne:acd wne:acdName="acd29"/>
    </wne:keymap>
    <wne:keymap wne:kcmPrimary="0435">
      <wne:acd wne:acdName="acd30"/>
    </wne:keymap>
    <wne:keymap wne:kcmPrimary="0436">
      <wne:acd wne:acdName="acd2"/>
    </wne:keymap>
    <wne:keymap wne:kcmPrimary="0437">
      <wne:acd wne:acdName="acd3"/>
    </wne:keymap>
    <wne:keymap wne:kcmPrimary="0438">
      <wne:acd wne:acdName="acd5"/>
    </wne:keymap>
    <wne:keymap wne:kcmPrimary="0439">
      <wne:acd wne:acdName="acd6"/>
    </wne:keymap>
    <wne:keymap wne:kcmPrimary="0443">
      <wne:acd wne:acdName="acd10"/>
    </wne:keymap>
    <wne:keymap wne:kcmPrimary="0448">
      <wne:acd wne:acdName="acd0"/>
    </wne:keymap>
    <wne:keymap wne:kcmPrimary="0454">
      <wne:acd wne:acdName="acd3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Manifest>
  </wne:toolbars>
  <wne:acds>
    <wne:acd wne:argValue="AgBAACAAQwBoAPoAIAB0AGgA7QBjAGgAIABoAOwAbgBoAA==" wne:acdName="acd0" wne:fciIndexBasedOn="0065"/>
    <wne:acd wne:argValue="AQAAAAAA" wne:acdName="acd1" wne:fciIndexBasedOn="0065"/>
    <wne:acd wne:argValue="AQAAAAEA" wne:acdName="acd2" wne:fciIndexBasedOn="0065"/>
    <wne:acd wne:argValue="AQAAAAIA" wne:acdName="acd3" wne:fciIndexBasedOn="0065"/>
    <wne:acd wne:acdName="acd4" wne:fciIndexBasedOn="0065"/>
    <wne:acd wne:argValue="AQAAAAMA" wne:acdName="acd5" wne:fciIndexBasedOn="0065"/>
    <wne:acd wne:argValue="AQAAAAQA" wne:acdName="acd6" wne:fciIndexBasedOn="0065"/>
    <wne:acd wne:acdName="acd7" wne:fciIndexBasedOn="0065"/>
    <wne:acd wne:acdName="acd8" wne:fciIndexBasedOn="0065"/>
    <wne:acd wne:acdName="acd9" wne:fciIndexBasedOn="0065"/>
    <wne:acd wne:argValue="AQAAACIA" wne:acdName="acd10" wne:fciIndexBasedOn="0065"/>
    <wne:acd wne:argValue="AQAAACIA" wne:acdName="acd11" wne:fciIndexBasedOn="0065"/>
    <wne:acd wne:argValue="AQAAACIA"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rgValue="AgBAADAAMQAgAFQAaQDqAHUAIAARAcEeIABiAOAAaQAgAGIA4QBvACAAKABWAGkAZQB0AG4AYQBt&#10;ACkA" wne:acdName="acd26" wne:fciIndexBasedOn="0065"/>
    <wne:acd wne:argValue="AgBAADAAMgAgAFQAaQDqAHUAIAARAcEeIABiAOAAaQAgAGIA4QBvACAAKABFAG4AZwBsAGkAcwBo&#10;ACkA" wne:acdName="acd27" wne:fciIndexBasedOn="0065"/>
    <wne:acd wne:argValue="AgBAADAAMwAgAFQA6gBuACAAdADhAGMAIABnAGkAox4gAGIA4ABpACAAYgDhAG8A" wne:acdName="acd28" wne:fciIndexBasedOn="0065"/>
    <wne:acd wne:argValue="AgBAADAANAAgABABoQFuACAAdgDLHiAAYwD0AG4AZwAgAHQA4QBjACAAYwDnHmEAIAB0AOEAYwAg&#10;AGcAaQCjHg==" wne:acdName="acd29" wne:fciIndexBasedOn="0065"/>
    <wne:acd wne:argValue="AgBAADAANQAgAFQA8wBtACAAdACvHnQAIAAtACAAQQBiAHMAdAByAGEAYwB0AA==" wne:acdName="acd30" wne:fciIndexBasedOn="0065"/>
    <wne:acd wne:argValue="AgBAADEAMAAgAFQA4ABpACAAbABpAMcedQAgAHQAaABhAG0AIABrAGgAox5vACAAKABOANkeaQAg&#10;AGQAdQBuAGcAKQA=" wne:acdName="acd31" wne:fciIndexBasedOn="0065"/>
    <wne:acd wne:argValue="AgBAADEAMQAgAFQA4ABpACAAbABpAMcedQAgAHQAaABhAG0AIABrAGgAox5vACAAKABUAGkA6gB1&#10;ACAAEQHBHikA" wne:acdName="acd3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9F7BF" w14:textId="77777777" w:rsidR="003A4C0C" w:rsidRDefault="003A4C0C">
      <w:r>
        <w:separator/>
      </w:r>
    </w:p>
  </w:endnote>
  <w:endnote w:type="continuationSeparator" w:id="0">
    <w:p w14:paraId="110C5402" w14:textId="77777777" w:rsidR="003A4C0C" w:rsidRDefault="003A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s new roman">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embedRegular r:id="rId1" w:subsetted="1" w:fontKey="{DED326DE-4589-4A95-9432-E8D0AECD41A4}"/>
    <w:embedItalic r:id="rId2" w:subsetted="1" w:fontKey="{83CB9DC0-D4EA-4882-9AA1-3FBF61A36299}"/>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DEABF" w14:textId="77777777" w:rsidR="00D87505" w:rsidRDefault="00D8750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295A2" w14:textId="77777777" w:rsidR="003A4C0C" w:rsidRDefault="003A4C0C">
      <w:r>
        <w:separator/>
      </w:r>
    </w:p>
  </w:footnote>
  <w:footnote w:type="continuationSeparator" w:id="0">
    <w:p w14:paraId="3A465657" w14:textId="77777777" w:rsidR="003A4C0C" w:rsidRDefault="003A4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C9587" w14:textId="77777777" w:rsidR="00F501A2" w:rsidRPr="003F4592" w:rsidRDefault="003F4592" w:rsidP="003F4592">
    <w:pPr>
      <w:pStyle w:val="Header"/>
      <w:pBdr>
        <w:bottom w:val="single" w:sz="4" w:space="1" w:color="auto"/>
      </w:pBdr>
    </w:pPr>
    <w:r w:rsidRPr="003F4592">
      <w:t>Tên tác giả</w:t>
    </w:r>
    <w:r>
      <w:tab/>
    </w:r>
    <w:r>
      <w:fldChar w:fldCharType="begin"/>
    </w:r>
    <w:r>
      <w:instrText xml:space="preserve"> PAGE   \* MERGEFORMAT </w:instrText>
    </w:r>
    <w:r>
      <w:fldChar w:fldCharType="separate"/>
    </w:r>
    <w:r w:rsidR="002957A7">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B0B8F" w14:textId="77777777" w:rsidR="00060989" w:rsidRPr="003F4592" w:rsidRDefault="00E40F9E" w:rsidP="00E40F9E">
    <w:pPr>
      <w:pStyle w:val="Header"/>
      <w:pBdr>
        <w:bottom w:val="single" w:sz="4" w:space="1" w:color="auto"/>
      </w:pBdr>
    </w:pPr>
    <w:r w:rsidRPr="003F4592">
      <w:fldChar w:fldCharType="begin"/>
    </w:r>
    <w:r w:rsidRPr="003F4592">
      <w:instrText xml:space="preserve"> PAGE   \* MERGEFORMAT </w:instrText>
    </w:r>
    <w:r w:rsidRPr="003F4592">
      <w:fldChar w:fldCharType="separate"/>
    </w:r>
    <w:r w:rsidR="002957A7">
      <w:rPr>
        <w:noProof/>
      </w:rPr>
      <w:t>1</w:t>
    </w:r>
    <w:r w:rsidRPr="003F4592">
      <w:fldChar w:fldCharType="end"/>
    </w:r>
    <w:r w:rsidRPr="003F4592">
      <w:tab/>
    </w:r>
    <w:r w:rsidR="00060989" w:rsidRPr="003F4592">
      <w:t xml:space="preserve">TẠP CHÍ KHOA HỌC VÀ CÔNG NGHỆ, </w:t>
    </w:r>
    <w:r w:rsidR="00060989" w:rsidRPr="003F4592">
      <w:rPr>
        <w:rFonts w:hint="eastAsia"/>
      </w:rPr>
      <w:t>Đ</w:t>
    </w:r>
    <w:r w:rsidR="00060989" w:rsidRPr="003F4592">
      <w:t xml:space="preserve">ẠI HỌC </w:t>
    </w:r>
    <w:r w:rsidR="00060989" w:rsidRPr="003F4592">
      <w:rPr>
        <w:rFonts w:hint="eastAsia"/>
      </w:rPr>
      <w:t>Đ</w:t>
    </w:r>
    <w:r w:rsidR="00EE427C" w:rsidRPr="003F4592">
      <w:t xml:space="preserve">À NẴNG - SỐ </w:t>
    </w:r>
    <w:r w:rsidR="005A69A9" w:rsidRPr="003F4592">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39FC"/>
    <w:multiLevelType w:val="hybridMultilevel"/>
    <w:tmpl w:val="566E14E4"/>
    <w:lvl w:ilvl="0" w:tplc="06A2F4B4">
      <w:start w:val="1"/>
      <w:numFmt w:val="bullet"/>
      <w:lvlText w:val=""/>
      <w:lvlJc w:val="left"/>
      <w:pPr>
        <w:tabs>
          <w:tab w:val="num" w:pos="1641"/>
        </w:tabs>
        <w:ind w:left="1641" w:hanging="360"/>
      </w:pPr>
      <w:rPr>
        <w:rFonts w:ascii="Wingdings" w:hAnsi="Wingdings"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1" w15:restartNumberingAfterBreak="0">
    <w:nsid w:val="021F0769"/>
    <w:multiLevelType w:val="multilevel"/>
    <w:tmpl w:val="344EF466"/>
    <w:lvl w:ilvl="0">
      <w:start w:val="1"/>
      <w:numFmt w:val="decimal"/>
      <w:suff w:val="space"/>
      <w:lvlText w:val="%1."/>
      <w:lvlJc w:val="left"/>
      <w:pPr>
        <w:ind w:left="644" w:hanging="360"/>
      </w:pPr>
      <w:rPr>
        <w:rFonts w:hint="default"/>
      </w:rPr>
    </w:lvl>
    <w:lvl w:ilvl="1">
      <w:start w:val="1"/>
      <w:numFmt w:val="decimal"/>
      <w:suff w:val="space"/>
      <w:lvlText w:val="%1.%2."/>
      <w:lvlJc w:val="left"/>
      <w:pPr>
        <w:ind w:left="1076" w:hanging="432"/>
      </w:pPr>
      <w:rPr>
        <w:rFonts w:hint="default"/>
      </w:rPr>
    </w:lvl>
    <w:lvl w:ilvl="2">
      <w:start w:val="1"/>
      <w:numFmt w:val="decimal"/>
      <w:suff w:val="space"/>
      <w:lvlText w:val="%1.%2.%3."/>
      <w:lvlJc w:val="left"/>
      <w:pPr>
        <w:ind w:left="1508" w:hanging="504"/>
      </w:pPr>
      <w:rPr>
        <w:rFonts w:hint="default"/>
      </w:rPr>
    </w:lvl>
    <w:lvl w:ilvl="3">
      <w:start w:val="1"/>
      <w:numFmt w:val="decimal"/>
      <w:suff w:val="space"/>
      <w:lvlText w:val="%1.%2.%3.%4."/>
      <w:lvlJc w:val="left"/>
      <w:pPr>
        <w:ind w:left="2012" w:hanging="648"/>
      </w:pPr>
      <w:rPr>
        <w:rFonts w:hint="default"/>
      </w:rPr>
    </w:lvl>
    <w:lvl w:ilvl="4">
      <w:start w:val="1"/>
      <w:numFmt w:val="decimal"/>
      <w:suff w:val="space"/>
      <w:lvlText w:val="%1.%2.%3.%4.%5."/>
      <w:lvlJc w:val="left"/>
      <w:pPr>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2" w15:restartNumberingAfterBreak="0">
    <w:nsid w:val="02BB6E08"/>
    <w:multiLevelType w:val="multilevel"/>
    <w:tmpl w:val="C60A1B6E"/>
    <w:lvl w:ilvl="0">
      <w:start w:val="1"/>
      <w:numFmt w:val="decimal"/>
      <w:suff w:val="space"/>
      <w:lvlText w:val="%1."/>
      <w:lvlJc w:val="left"/>
      <w:pPr>
        <w:ind w:left="644" w:hanging="360"/>
      </w:pPr>
      <w:rPr>
        <w:rFonts w:hint="default"/>
      </w:rPr>
    </w:lvl>
    <w:lvl w:ilvl="1">
      <w:start w:val="1"/>
      <w:numFmt w:val="decimal"/>
      <w:suff w:val="space"/>
      <w:lvlText w:val="%1.%2."/>
      <w:lvlJc w:val="left"/>
      <w:pPr>
        <w:ind w:left="1076" w:hanging="432"/>
      </w:pPr>
      <w:rPr>
        <w:rFonts w:hint="default"/>
      </w:rPr>
    </w:lvl>
    <w:lvl w:ilvl="2">
      <w:start w:val="1"/>
      <w:numFmt w:val="decimal"/>
      <w:suff w:val="space"/>
      <w:lvlText w:val="%1.%2.%3."/>
      <w:lvlJc w:val="left"/>
      <w:pPr>
        <w:ind w:left="1508" w:hanging="504"/>
      </w:pPr>
      <w:rPr>
        <w:rFonts w:hint="default"/>
      </w:rPr>
    </w:lvl>
    <w:lvl w:ilvl="3">
      <w:start w:val="1"/>
      <w:numFmt w:val="decimal"/>
      <w:suff w:val="space"/>
      <w:lvlText w:val="%1.%2.%3.%4."/>
      <w:lvlJc w:val="left"/>
      <w:pPr>
        <w:ind w:left="2012" w:hanging="648"/>
      </w:pPr>
      <w:rPr>
        <w:rFonts w:hint="default"/>
      </w:rPr>
    </w:lvl>
    <w:lvl w:ilvl="4">
      <w:start w:val="1"/>
      <w:numFmt w:val="decimal"/>
      <w:suff w:val="space"/>
      <w:lvlText w:val="%1.%2.%3.%4.%5."/>
      <w:lvlJc w:val="left"/>
      <w:pPr>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3" w15:restartNumberingAfterBreak="0">
    <w:nsid w:val="0321468F"/>
    <w:multiLevelType w:val="multilevel"/>
    <w:tmpl w:val="0A0A708C"/>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709" w:firstLine="0"/>
      </w:pPr>
      <w:rPr>
        <w:rFonts w:hint="default"/>
      </w:rPr>
    </w:lvl>
    <w:lvl w:ilvl="3">
      <w:start w:val="1"/>
      <w:numFmt w:val="lowerLetter"/>
      <w:pStyle w:val="Heading4"/>
      <w:suff w:val="space"/>
      <w:lvlText w:val="%4."/>
      <w:lvlJc w:val="left"/>
      <w:pPr>
        <w:ind w:left="284"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4" w15:restartNumberingAfterBreak="0">
    <w:nsid w:val="082703AB"/>
    <w:multiLevelType w:val="hybridMultilevel"/>
    <w:tmpl w:val="D35C0FE8"/>
    <w:lvl w:ilvl="0" w:tplc="BACA808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C3977"/>
    <w:multiLevelType w:val="hybridMultilevel"/>
    <w:tmpl w:val="B83C5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061DF9"/>
    <w:multiLevelType w:val="hybridMultilevel"/>
    <w:tmpl w:val="022A85E4"/>
    <w:lvl w:ilvl="0" w:tplc="0409000F">
      <w:start w:val="1"/>
      <w:numFmt w:val="decimal"/>
      <w:lvlText w:val="%1."/>
      <w:lvlJc w:val="left"/>
      <w:pPr>
        <w:tabs>
          <w:tab w:val="num" w:pos="692"/>
        </w:tabs>
        <w:ind w:left="692" w:hanging="360"/>
      </w:pPr>
    </w:lvl>
    <w:lvl w:ilvl="1" w:tplc="04090019" w:tentative="1">
      <w:start w:val="1"/>
      <w:numFmt w:val="lowerLetter"/>
      <w:lvlText w:val="%2."/>
      <w:lvlJc w:val="left"/>
      <w:pPr>
        <w:tabs>
          <w:tab w:val="num" w:pos="1412"/>
        </w:tabs>
        <w:ind w:left="1412" w:hanging="360"/>
      </w:pPr>
    </w:lvl>
    <w:lvl w:ilvl="2" w:tplc="0409001B" w:tentative="1">
      <w:start w:val="1"/>
      <w:numFmt w:val="lowerRoman"/>
      <w:lvlText w:val="%3."/>
      <w:lvlJc w:val="right"/>
      <w:pPr>
        <w:tabs>
          <w:tab w:val="num" w:pos="2132"/>
        </w:tabs>
        <w:ind w:left="2132" w:hanging="180"/>
      </w:pPr>
    </w:lvl>
    <w:lvl w:ilvl="3" w:tplc="0409000F" w:tentative="1">
      <w:start w:val="1"/>
      <w:numFmt w:val="decimal"/>
      <w:lvlText w:val="%4."/>
      <w:lvlJc w:val="left"/>
      <w:pPr>
        <w:tabs>
          <w:tab w:val="num" w:pos="2852"/>
        </w:tabs>
        <w:ind w:left="2852" w:hanging="360"/>
      </w:pPr>
    </w:lvl>
    <w:lvl w:ilvl="4" w:tplc="04090019" w:tentative="1">
      <w:start w:val="1"/>
      <w:numFmt w:val="lowerLetter"/>
      <w:lvlText w:val="%5."/>
      <w:lvlJc w:val="left"/>
      <w:pPr>
        <w:tabs>
          <w:tab w:val="num" w:pos="3572"/>
        </w:tabs>
        <w:ind w:left="3572" w:hanging="360"/>
      </w:pPr>
    </w:lvl>
    <w:lvl w:ilvl="5" w:tplc="0409001B" w:tentative="1">
      <w:start w:val="1"/>
      <w:numFmt w:val="lowerRoman"/>
      <w:lvlText w:val="%6."/>
      <w:lvlJc w:val="right"/>
      <w:pPr>
        <w:tabs>
          <w:tab w:val="num" w:pos="4292"/>
        </w:tabs>
        <w:ind w:left="4292" w:hanging="180"/>
      </w:pPr>
    </w:lvl>
    <w:lvl w:ilvl="6" w:tplc="0409000F" w:tentative="1">
      <w:start w:val="1"/>
      <w:numFmt w:val="decimal"/>
      <w:lvlText w:val="%7."/>
      <w:lvlJc w:val="left"/>
      <w:pPr>
        <w:tabs>
          <w:tab w:val="num" w:pos="5012"/>
        </w:tabs>
        <w:ind w:left="5012" w:hanging="360"/>
      </w:pPr>
    </w:lvl>
    <w:lvl w:ilvl="7" w:tplc="04090019" w:tentative="1">
      <w:start w:val="1"/>
      <w:numFmt w:val="lowerLetter"/>
      <w:lvlText w:val="%8."/>
      <w:lvlJc w:val="left"/>
      <w:pPr>
        <w:tabs>
          <w:tab w:val="num" w:pos="5732"/>
        </w:tabs>
        <w:ind w:left="5732" w:hanging="360"/>
      </w:pPr>
    </w:lvl>
    <w:lvl w:ilvl="8" w:tplc="0409001B" w:tentative="1">
      <w:start w:val="1"/>
      <w:numFmt w:val="lowerRoman"/>
      <w:lvlText w:val="%9."/>
      <w:lvlJc w:val="right"/>
      <w:pPr>
        <w:tabs>
          <w:tab w:val="num" w:pos="6452"/>
        </w:tabs>
        <w:ind w:left="6452" w:hanging="180"/>
      </w:pPr>
    </w:lvl>
  </w:abstractNum>
  <w:abstractNum w:abstractNumId="7" w15:restartNumberingAfterBreak="0">
    <w:nsid w:val="224D0DE6"/>
    <w:multiLevelType w:val="hybridMultilevel"/>
    <w:tmpl w:val="AFB2AD24"/>
    <w:lvl w:ilvl="0" w:tplc="06A2F4B4">
      <w:start w:val="1"/>
      <w:numFmt w:val="bullet"/>
      <w:lvlText w:val=""/>
      <w:lvlJc w:val="left"/>
      <w:pPr>
        <w:tabs>
          <w:tab w:val="num" w:pos="1641"/>
        </w:tabs>
        <w:ind w:left="1641" w:hanging="360"/>
      </w:pPr>
      <w:rPr>
        <w:rFonts w:ascii="Wingdings" w:hAnsi="Wingdings"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8" w15:restartNumberingAfterBreak="0">
    <w:nsid w:val="22776656"/>
    <w:multiLevelType w:val="hybridMultilevel"/>
    <w:tmpl w:val="83A242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B92DEC"/>
    <w:multiLevelType w:val="hybridMultilevel"/>
    <w:tmpl w:val="C8C6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C3A1A"/>
    <w:multiLevelType w:val="hybridMultilevel"/>
    <w:tmpl w:val="4CE2129C"/>
    <w:lvl w:ilvl="0" w:tplc="F21004B8">
      <w:start w:val="1"/>
      <w:numFmt w:val="upperRoman"/>
      <w:lvlText w:val="%1."/>
      <w:lvlJc w:val="right"/>
      <w:pPr>
        <w:tabs>
          <w:tab w:val="num" w:pos="1004"/>
        </w:tabs>
        <w:ind w:left="1004" w:hanging="180"/>
      </w:p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1" w15:restartNumberingAfterBreak="0">
    <w:nsid w:val="2D332C12"/>
    <w:multiLevelType w:val="hybridMultilevel"/>
    <w:tmpl w:val="5E00BA12"/>
    <w:lvl w:ilvl="0" w:tplc="197E594E">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262AA4"/>
    <w:multiLevelType w:val="hybridMultilevel"/>
    <w:tmpl w:val="DC08CD14"/>
    <w:lvl w:ilvl="0" w:tplc="0CF80BCE">
      <w:start w:val="1"/>
      <w:numFmt w:val="decimal"/>
      <w:lvlText w:val="%1."/>
      <w:lvlJc w:val="left"/>
      <w:pPr>
        <w:tabs>
          <w:tab w:val="num" w:pos="1080"/>
        </w:tabs>
        <w:ind w:left="1080" w:hanging="360"/>
      </w:pPr>
      <w:rPr>
        <w:rFonts w:hint="default"/>
      </w:rPr>
    </w:lvl>
    <w:lvl w:ilvl="1" w:tplc="26B66AB0">
      <w:numFmt w:val="none"/>
      <w:lvlText w:val=""/>
      <w:lvlJc w:val="left"/>
      <w:pPr>
        <w:tabs>
          <w:tab w:val="num" w:pos="360"/>
        </w:tabs>
      </w:pPr>
    </w:lvl>
    <w:lvl w:ilvl="2" w:tplc="43706AE2">
      <w:numFmt w:val="none"/>
      <w:lvlText w:val=""/>
      <w:lvlJc w:val="left"/>
      <w:pPr>
        <w:tabs>
          <w:tab w:val="num" w:pos="360"/>
        </w:tabs>
      </w:pPr>
    </w:lvl>
    <w:lvl w:ilvl="3" w:tplc="F4E24B8A">
      <w:numFmt w:val="none"/>
      <w:lvlText w:val=""/>
      <w:lvlJc w:val="left"/>
      <w:pPr>
        <w:tabs>
          <w:tab w:val="num" w:pos="360"/>
        </w:tabs>
      </w:pPr>
    </w:lvl>
    <w:lvl w:ilvl="4" w:tplc="59CA2DB0">
      <w:numFmt w:val="none"/>
      <w:lvlText w:val=""/>
      <w:lvlJc w:val="left"/>
      <w:pPr>
        <w:tabs>
          <w:tab w:val="num" w:pos="360"/>
        </w:tabs>
      </w:pPr>
    </w:lvl>
    <w:lvl w:ilvl="5" w:tplc="0D061D54">
      <w:numFmt w:val="none"/>
      <w:lvlText w:val=""/>
      <w:lvlJc w:val="left"/>
      <w:pPr>
        <w:tabs>
          <w:tab w:val="num" w:pos="360"/>
        </w:tabs>
      </w:pPr>
    </w:lvl>
    <w:lvl w:ilvl="6" w:tplc="98847792">
      <w:numFmt w:val="none"/>
      <w:lvlText w:val=""/>
      <w:lvlJc w:val="left"/>
      <w:pPr>
        <w:tabs>
          <w:tab w:val="num" w:pos="360"/>
        </w:tabs>
      </w:pPr>
    </w:lvl>
    <w:lvl w:ilvl="7" w:tplc="C0B0CD46">
      <w:numFmt w:val="none"/>
      <w:lvlText w:val=""/>
      <w:lvlJc w:val="left"/>
      <w:pPr>
        <w:tabs>
          <w:tab w:val="num" w:pos="360"/>
        </w:tabs>
      </w:pPr>
    </w:lvl>
    <w:lvl w:ilvl="8" w:tplc="6D7E1B32">
      <w:numFmt w:val="none"/>
      <w:lvlText w:val=""/>
      <w:lvlJc w:val="left"/>
      <w:pPr>
        <w:tabs>
          <w:tab w:val="num" w:pos="360"/>
        </w:tabs>
      </w:pPr>
    </w:lvl>
  </w:abstractNum>
  <w:abstractNum w:abstractNumId="13" w15:restartNumberingAfterBreak="0">
    <w:nsid w:val="32400F58"/>
    <w:multiLevelType w:val="hybridMultilevel"/>
    <w:tmpl w:val="8970056E"/>
    <w:lvl w:ilvl="0" w:tplc="9A66C964">
      <w:start w:val="1"/>
      <w:numFmt w:val="decimal"/>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1369E8"/>
    <w:multiLevelType w:val="hybridMultilevel"/>
    <w:tmpl w:val="949E0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034DC6"/>
    <w:multiLevelType w:val="hybridMultilevel"/>
    <w:tmpl w:val="B5A6190C"/>
    <w:lvl w:ilvl="0" w:tplc="36CE0B8E">
      <w:start w:val="1"/>
      <w:numFmt w:val="upperRoman"/>
      <w:lvlText w:val="%1."/>
      <w:lvlJc w:val="right"/>
      <w:pPr>
        <w:tabs>
          <w:tab w:val="num" w:pos="1004"/>
        </w:tabs>
        <w:ind w:left="1004" w:hanging="180"/>
      </w:p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6" w15:restartNumberingAfterBreak="0">
    <w:nsid w:val="42D529C9"/>
    <w:multiLevelType w:val="hybridMultilevel"/>
    <w:tmpl w:val="96A8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D44B8"/>
    <w:multiLevelType w:val="hybridMultilevel"/>
    <w:tmpl w:val="1BBA0DE6"/>
    <w:lvl w:ilvl="0" w:tplc="B3EA9E78">
      <w:start w:val="1"/>
      <w:numFmt w:val="bullet"/>
      <w:lvlText w:val=""/>
      <w:lvlJc w:val="left"/>
      <w:pPr>
        <w:tabs>
          <w:tab w:val="num" w:pos="720"/>
        </w:tabs>
        <w:ind w:left="720" w:hanging="360"/>
      </w:pPr>
      <w:rPr>
        <w:rFonts w:ascii="Symbol" w:hAnsi="Symbol" w:hint="default"/>
        <w:sz w:val="20"/>
      </w:rPr>
    </w:lvl>
    <w:lvl w:ilvl="1" w:tplc="FC5E5F4A" w:tentative="1">
      <w:start w:val="1"/>
      <w:numFmt w:val="bullet"/>
      <w:lvlText w:val="o"/>
      <w:lvlJc w:val="left"/>
      <w:pPr>
        <w:tabs>
          <w:tab w:val="num" w:pos="1440"/>
        </w:tabs>
        <w:ind w:left="1440" w:hanging="360"/>
      </w:pPr>
      <w:rPr>
        <w:rFonts w:ascii="Courier New" w:hAnsi="Courier New" w:hint="default"/>
        <w:sz w:val="20"/>
      </w:rPr>
    </w:lvl>
    <w:lvl w:ilvl="2" w:tplc="1E9237EC" w:tentative="1">
      <w:start w:val="1"/>
      <w:numFmt w:val="bullet"/>
      <w:lvlText w:val=""/>
      <w:lvlJc w:val="left"/>
      <w:pPr>
        <w:tabs>
          <w:tab w:val="num" w:pos="2160"/>
        </w:tabs>
        <w:ind w:left="2160" w:hanging="360"/>
      </w:pPr>
      <w:rPr>
        <w:rFonts w:ascii="Wingdings" w:hAnsi="Wingdings" w:hint="default"/>
        <w:sz w:val="20"/>
      </w:rPr>
    </w:lvl>
    <w:lvl w:ilvl="3" w:tplc="C8A6FBA8" w:tentative="1">
      <w:start w:val="1"/>
      <w:numFmt w:val="bullet"/>
      <w:lvlText w:val=""/>
      <w:lvlJc w:val="left"/>
      <w:pPr>
        <w:tabs>
          <w:tab w:val="num" w:pos="2880"/>
        </w:tabs>
        <w:ind w:left="2880" w:hanging="360"/>
      </w:pPr>
      <w:rPr>
        <w:rFonts w:ascii="Wingdings" w:hAnsi="Wingdings" w:hint="default"/>
        <w:sz w:val="20"/>
      </w:rPr>
    </w:lvl>
    <w:lvl w:ilvl="4" w:tplc="2190D75E" w:tentative="1">
      <w:start w:val="1"/>
      <w:numFmt w:val="bullet"/>
      <w:lvlText w:val=""/>
      <w:lvlJc w:val="left"/>
      <w:pPr>
        <w:tabs>
          <w:tab w:val="num" w:pos="3600"/>
        </w:tabs>
        <w:ind w:left="3600" w:hanging="360"/>
      </w:pPr>
      <w:rPr>
        <w:rFonts w:ascii="Wingdings" w:hAnsi="Wingdings" w:hint="default"/>
        <w:sz w:val="20"/>
      </w:rPr>
    </w:lvl>
    <w:lvl w:ilvl="5" w:tplc="D6F61402" w:tentative="1">
      <w:start w:val="1"/>
      <w:numFmt w:val="bullet"/>
      <w:lvlText w:val=""/>
      <w:lvlJc w:val="left"/>
      <w:pPr>
        <w:tabs>
          <w:tab w:val="num" w:pos="4320"/>
        </w:tabs>
        <w:ind w:left="4320" w:hanging="360"/>
      </w:pPr>
      <w:rPr>
        <w:rFonts w:ascii="Wingdings" w:hAnsi="Wingdings" w:hint="default"/>
        <w:sz w:val="20"/>
      </w:rPr>
    </w:lvl>
    <w:lvl w:ilvl="6" w:tplc="1250EC2E" w:tentative="1">
      <w:start w:val="1"/>
      <w:numFmt w:val="bullet"/>
      <w:lvlText w:val=""/>
      <w:lvlJc w:val="left"/>
      <w:pPr>
        <w:tabs>
          <w:tab w:val="num" w:pos="5040"/>
        </w:tabs>
        <w:ind w:left="5040" w:hanging="360"/>
      </w:pPr>
      <w:rPr>
        <w:rFonts w:ascii="Wingdings" w:hAnsi="Wingdings" w:hint="default"/>
        <w:sz w:val="20"/>
      </w:rPr>
    </w:lvl>
    <w:lvl w:ilvl="7" w:tplc="48FEC504" w:tentative="1">
      <w:start w:val="1"/>
      <w:numFmt w:val="bullet"/>
      <w:lvlText w:val=""/>
      <w:lvlJc w:val="left"/>
      <w:pPr>
        <w:tabs>
          <w:tab w:val="num" w:pos="5760"/>
        </w:tabs>
        <w:ind w:left="5760" w:hanging="360"/>
      </w:pPr>
      <w:rPr>
        <w:rFonts w:ascii="Wingdings" w:hAnsi="Wingdings" w:hint="default"/>
        <w:sz w:val="20"/>
      </w:rPr>
    </w:lvl>
    <w:lvl w:ilvl="8" w:tplc="D30C1C7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737EF4"/>
    <w:multiLevelType w:val="hybridMultilevel"/>
    <w:tmpl w:val="B32630BA"/>
    <w:lvl w:ilvl="0" w:tplc="354E8206">
      <w:start w:val="1"/>
      <w:numFmt w:val="decimal"/>
      <w:lvlText w:val="%1."/>
      <w:lvlJc w:val="left"/>
      <w:pPr>
        <w:ind w:left="63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48995936"/>
    <w:multiLevelType w:val="hybridMultilevel"/>
    <w:tmpl w:val="D368B6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AE6480"/>
    <w:multiLevelType w:val="multilevel"/>
    <w:tmpl w:val="850A4964"/>
    <w:lvl w:ilvl="0">
      <w:start w:val="1"/>
      <w:numFmt w:val="decimal"/>
      <w:suff w:val="space"/>
      <w:lvlText w:val="%1."/>
      <w:lvlJc w:val="left"/>
      <w:pPr>
        <w:ind w:left="644" w:hanging="360"/>
      </w:pPr>
      <w:rPr>
        <w:rFonts w:hint="default"/>
      </w:rPr>
    </w:lvl>
    <w:lvl w:ilvl="1">
      <w:start w:val="1"/>
      <w:numFmt w:val="decimal"/>
      <w:suff w:val="space"/>
      <w:lvlText w:val="%1.%2."/>
      <w:lvlJc w:val="left"/>
      <w:pPr>
        <w:ind w:left="1076" w:hanging="432"/>
      </w:pPr>
      <w:rPr>
        <w:rFonts w:hint="default"/>
      </w:rPr>
    </w:lvl>
    <w:lvl w:ilvl="2">
      <w:start w:val="1"/>
      <w:numFmt w:val="decimal"/>
      <w:suff w:val="space"/>
      <w:lvlText w:val="%1.%2.%3."/>
      <w:lvlJc w:val="left"/>
      <w:pPr>
        <w:ind w:left="1508" w:hanging="504"/>
      </w:pPr>
      <w:rPr>
        <w:rFonts w:hint="default"/>
      </w:rPr>
    </w:lvl>
    <w:lvl w:ilvl="3">
      <w:start w:val="1"/>
      <w:numFmt w:val="decimal"/>
      <w:suff w:val="space"/>
      <w:lvlText w:val="%1.%2.%3.%4."/>
      <w:lvlJc w:val="left"/>
      <w:pPr>
        <w:ind w:left="2012" w:hanging="648"/>
      </w:pPr>
      <w:rPr>
        <w:rFonts w:hint="default"/>
      </w:rPr>
    </w:lvl>
    <w:lvl w:ilvl="4">
      <w:start w:val="1"/>
      <w:numFmt w:val="decimal"/>
      <w:suff w:val="space"/>
      <w:lvlText w:val="%1.%2.%3.%4.%5."/>
      <w:lvlJc w:val="left"/>
      <w:pPr>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21" w15:restartNumberingAfterBreak="0">
    <w:nsid w:val="505A57E7"/>
    <w:multiLevelType w:val="hybridMultilevel"/>
    <w:tmpl w:val="0420BBA6"/>
    <w:lvl w:ilvl="0" w:tplc="14D23A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C6A3B"/>
    <w:multiLevelType w:val="hybridMultilevel"/>
    <w:tmpl w:val="667653E4"/>
    <w:lvl w:ilvl="0" w:tplc="06A2F4B4">
      <w:start w:val="1"/>
      <w:numFmt w:val="bullet"/>
      <w:lvlText w:val=""/>
      <w:lvlJc w:val="left"/>
      <w:pPr>
        <w:tabs>
          <w:tab w:val="num" w:pos="1654"/>
        </w:tabs>
        <w:ind w:left="1654" w:hanging="360"/>
      </w:pPr>
      <w:rPr>
        <w:rFonts w:ascii="Wingdings" w:hAnsi="Wingdings" w:hint="default"/>
      </w:rPr>
    </w:lvl>
    <w:lvl w:ilvl="1" w:tplc="04090003" w:tentative="1">
      <w:start w:val="1"/>
      <w:numFmt w:val="bullet"/>
      <w:lvlText w:val="o"/>
      <w:lvlJc w:val="left"/>
      <w:pPr>
        <w:tabs>
          <w:tab w:val="num" w:pos="2014"/>
        </w:tabs>
        <w:ind w:left="2014" w:hanging="360"/>
      </w:pPr>
      <w:rPr>
        <w:rFonts w:ascii="Courier New" w:hAnsi="Courier New" w:cs="Courier New" w:hint="default"/>
      </w:rPr>
    </w:lvl>
    <w:lvl w:ilvl="2" w:tplc="04090005" w:tentative="1">
      <w:start w:val="1"/>
      <w:numFmt w:val="bullet"/>
      <w:lvlText w:val=""/>
      <w:lvlJc w:val="left"/>
      <w:pPr>
        <w:tabs>
          <w:tab w:val="num" w:pos="2734"/>
        </w:tabs>
        <w:ind w:left="2734" w:hanging="360"/>
      </w:pPr>
      <w:rPr>
        <w:rFonts w:ascii="Wingdings" w:hAnsi="Wingdings" w:hint="default"/>
      </w:rPr>
    </w:lvl>
    <w:lvl w:ilvl="3" w:tplc="04090001" w:tentative="1">
      <w:start w:val="1"/>
      <w:numFmt w:val="bullet"/>
      <w:lvlText w:val=""/>
      <w:lvlJc w:val="left"/>
      <w:pPr>
        <w:tabs>
          <w:tab w:val="num" w:pos="3454"/>
        </w:tabs>
        <w:ind w:left="3454" w:hanging="360"/>
      </w:pPr>
      <w:rPr>
        <w:rFonts w:ascii="Symbol" w:hAnsi="Symbol" w:hint="default"/>
      </w:rPr>
    </w:lvl>
    <w:lvl w:ilvl="4" w:tplc="04090003" w:tentative="1">
      <w:start w:val="1"/>
      <w:numFmt w:val="bullet"/>
      <w:lvlText w:val="o"/>
      <w:lvlJc w:val="left"/>
      <w:pPr>
        <w:tabs>
          <w:tab w:val="num" w:pos="4174"/>
        </w:tabs>
        <w:ind w:left="4174" w:hanging="360"/>
      </w:pPr>
      <w:rPr>
        <w:rFonts w:ascii="Courier New" w:hAnsi="Courier New" w:cs="Courier New" w:hint="default"/>
      </w:rPr>
    </w:lvl>
    <w:lvl w:ilvl="5" w:tplc="04090005" w:tentative="1">
      <w:start w:val="1"/>
      <w:numFmt w:val="bullet"/>
      <w:lvlText w:val=""/>
      <w:lvlJc w:val="left"/>
      <w:pPr>
        <w:tabs>
          <w:tab w:val="num" w:pos="4894"/>
        </w:tabs>
        <w:ind w:left="4894" w:hanging="360"/>
      </w:pPr>
      <w:rPr>
        <w:rFonts w:ascii="Wingdings" w:hAnsi="Wingdings" w:hint="default"/>
      </w:rPr>
    </w:lvl>
    <w:lvl w:ilvl="6" w:tplc="04090001" w:tentative="1">
      <w:start w:val="1"/>
      <w:numFmt w:val="bullet"/>
      <w:lvlText w:val=""/>
      <w:lvlJc w:val="left"/>
      <w:pPr>
        <w:tabs>
          <w:tab w:val="num" w:pos="5614"/>
        </w:tabs>
        <w:ind w:left="5614" w:hanging="360"/>
      </w:pPr>
      <w:rPr>
        <w:rFonts w:ascii="Symbol" w:hAnsi="Symbol" w:hint="default"/>
      </w:rPr>
    </w:lvl>
    <w:lvl w:ilvl="7" w:tplc="04090003" w:tentative="1">
      <w:start w:val="1"/>
      <w:numFmt w:val="bullet"/>
      <w:lvlText w:val="o"/>
      <w:lvlJc w:val="left"/>
      <w:pPr>
        <w:tabs>
          <w:tab w:val="num" w:pos="6334"/>
        </w:tabs>
        <w:ind w:left="6334" w:hanging="360"/>
      </w:pPr>
      <w:rPr>
        <w:rFonts w:ascii="Courier New" w:hAnsi="Courier New" w:cs="Courier New" w:hint="default"/>
      </w:rPr>
    </w:lvl>
    <w:lvl w:ilvl="8" w:tplc="04090005" w:tentative="1">
      <w:start w:val="1"/>
      <w:numFmt w:val="bullet"/>
      <w:lvlText w:val=""/>
      <w:lvlJc w:val="left"/>
      <w:pPr>
        <w:tabs>
          <w:tab w:val="num" w:pos="7054"/>
        </w:tabs>
        <w:ind w:left="7054" w:hanging="360"/>
      </w:pPr>
      <w:rPr>
        <w:rFonts w:ascii="Wingdings" w:hAnsi="Wingdings" w:hint="default"/>
      </w:rPr>
    </w:lvl>
  </w:abstractNum>
  <w:abstractNum w:abstractNumId="23" w15:restartNumberingAfterBreak="0">
    <w:nsid w:val="529D1568"/>
    <w:multiLevelType w:val="hybridMultilevel"/>
    <w:tmpl w:val="E4FC3C1C"/>
    <w:lvl w:ilvl="0" w:tplc="50D2EF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A22834"/>
    <w:multiLevelType w:val="multilevel"/>
    <w:tmpl w:val="7B6C6DB8"/>
    <w:lvl w:ilvl="0">
      <w:start w:val="1"/>
      <w:numFmt w:val="bullet"/>
      <w:lvlText w:val="+"/>
      <w:lvlJc w:val="left"/>
      <w:pPr>
        <w:ind w:left="284" w:firstLine="0"/>
      </w:pPr>
      <w:rPr>
        <w:rFonts w:ascii="Courier New" w:hAnsi="Courier New" w:hint="default"/>
      </w:rPr>
    </w:lvl>
    <w:lvl w:ilvl="1">
      <w:start w:val="1"/>
      <w:numFmt w:val="bullet"/>
      <w:lvlText w:val="o"/>
      <w:lvlJc w:val="left"/>
      <w:pPr>
        <w:ind w:left="568" w:firstLine="0"/>
      </w:pPr>
      <w:rPr>
        <w:rFonts w:ascii="Courier New" w:hAnsi="Courier New" w:cs="Courier New"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Symbol" w:hAnsi="Symbol" w:hint="default"/>
      </w:rPr>
    </w:lvl>
    <w:lvl w:ilvl="4">
      <w:start w:val="1"/>
      <w:numFmt w:val="bullet"/>
      <w:lvlText w:val="o"/>
      <w:lvlJc w:val="left"/>
      <w:pPr>
        <w:ind w:left="1420" w:firstLine="0"/>
      </w:pPr>
      <w:rPr>
        <w:rFonts w:ascii="Courier New" w:hAnsi="Courier New" w:cs="Courier New"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Symbol" w:hAnsi="Symbol" w:hint="default"/>
      </w:rPr>
    </w:lvl>
    <w:lvl w:ilvl="7">
      <w:start w:val="1"/>
      <w:numFmt w:val="bullet"/>
      <w:lvlText w:val="o"/>
      <w:lvlJc w:val="left"/>
      <w:pPr>
        <w:ind w:left="2272" w:firstLine="0"/>
      </w:pPr>
      <w:rPr>
        <w:rFonts w:ascii="Courier New" w:hAnsi="Courier New" w:cs="Courier New" w:hint="default"/>
      </w:rPr>
    </w:lvl>
    <w:lvl w:ilvl="8">
      <w:start w:val="1"/>
      <w:numFmt w:val="bullet"/>
      <w:lvlText w:val=""/>
      <w:lvlJc w:val="left"/>
      <w:pPr>
        <w:ind w:left="2556" w:firstLine="0"/>
      </w:pPr>
      <w:rPr>
        <w:rFonts w:ascii="Wingdings" w:hAnsi="Wingdings" w:hint="default"/>
      </w:rPr>
    </w:lvl>
  </w:abstractNum>
  <w:abstractNum w:abstractNumId="25" w15:restartNumberingAfterBreak="0">
    <w:nsid w:val="53B20F16"/>
    <w:multiLevelType w:val="hybridMultilevel"/>
    <w:tmpl w:val="C6064750"/>
    <w:lvl w:ilvl="0" w:tplc="472E3BBA">
      <w:start w:val="1"/>
      <w:numFmt w:val="decimal"/>
      <w:lvlText w:val="[%1]"/>
      <w:lvlJc w:val="left"/>
      <w:pPr>
        <w:ind w:left="107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4C41E3"/>
    <w:multiLevelType w:val="multilevel"/>
    <w:tmpl w:val="B394D130"/>
    <w:lvl w:ilvl="0">
      <w:start w:val="1"/>
      <w:numFmt w:val="bullet"/>
      <w:lvlText w:val=""/>
      <w:lvlJc w:val="left"/>
      <w:pPr>
        <w:ind w:left="284" w:firstLine="0"/>
      </w:pPr>
      <w:rPr>
        <w:rFonts w:ascii="Symbol" w:hAnsi="Symbol" w:hint="default"/>
      </w:rPr>
    </w:lvl>
    <w:lvl w:ilvl="1">
      <w:start w:val="1"/>
      <w:numFmt w:val="bullet"/>
      <w:lvlText w:val="+"/>
      <w:lvlJc w:val="left"/>
      <w:pPr>
        <w:ind w:left="568" w:firstLine="0"/>
      </w:pPr>
      <w:rPr>
        <w:rFonts w:ascii="Courier New" w:hAnsi="Courier New" w:hint="default"/>
      </w:rPr>
    </w:lvl>
    <w:lvl w:ilvl="2">
      <w:start w:val="1"/>
      <w:numFmt w:val="bullet"/>
      <w:lvlText w:val="o"/>
      <w:lvlJc w:val="left"/>
      <w:pPr>
        <w:ind w:left="852" w:firstLine="0"/>
      </w:pPr>
      <w:rPr>
        <w:rFonts w:ascii="Courier New" w:hAnsi="Courier New" w:hint="default"/>
      </w:rPr>
    </w:lvl>
    <w:lvl w:ilvl="3">
      <w:start w:val="1"/>
      <w:numFmt w:val="bullet"/>
      <w:lvlText w:val=""/>
      <w:lvlJc w:val="left"/>
      <w:pPr>
        <w:ind w:left="1136" w:firstLine="0"/>
      </w:pPr>
      <w:rPr>
        <w:rFonts w:ascii="Symbol" w:hAnsi="Symbol" w:hint="default"/>
      </w:rPr>
    </w:lvl>
    <w:lvl w:ilvl="4">
      <w:start w:val="1"/>
      <w:numFmt w:val="bullet"/>
      <w:lvlText w:val="o"/>
      <w:lvlJc w:val="left"/>
      <w:pPr>
        <w:ind w:left="1420" w:firstLine="0"/>
      </w:pPr>
      <w:rPr>
        <w:rFonts w:ascii="Courier New" w:hAnsi="Courier New" w:cs="Courier New"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Symbol" w:hAnsi="Symbol" w:hint="default"/>
      </w:rPr>
    </w:lvl>
    <w:lvl w:ilvl="7">
      <w:start w:val="1"/>
      <w:numFmt w:val="bullet"/>
      <w:lvlText w:val="o"/>
      <w:lvlJc w:val="left"/>
      <w:pPr>
        <w:ind w:left="2272" w:firstLine="0"/>
      </w:pPr>
      <w:rPr>
        <w:rFonts w:ascii="Courier New" w:hAnsi="Courier New" w:cs="Courier New" w:hint="default"/>
      </w:rPr>
    </w:lvl>
    <w:lvl w:ilvl="8">
      <w:start w:val="1"/>
      <w:numFmt w:val="bullet"/>
      <w:lvlText w:val=""/>
      <w:lvlJc w:val="left"/>
      <w:pPr>
        <w:ind w:left="2556" w:firstLine="0"/>
      </w:pPr>
      <w:rPr>
        <w:rFonts w:ascii="Wingdings" w:hAnsi="Wingdings" w:hint="default"/>
      </w:rPr>
    </w:lvl>
  </w:abstractNum>
  <w:abstractNum w:abstractNumId="27" w15:restartNumberingAfterBreak="0">
    <w:nsid w:val="55C81159"/>
    <w:multiLevelType w:val="hybridMultilevel"/>
    <w:tmpl w:val="72CA20EE"/>
    <w:lvl w:ilvl="0" w:tplc="06A2F4B4">
      <w:start w:val="1"/>
      <w:numFmt w:val="bullet"/>
      <w:lvlText w:val=""/>
      <w:lvlJc w:val="left"/>
      <w:pPr>
        <w:tabs>
          <w:tab w:val="num" w:pos="1653"/>
        </w:tabs>
        <w:ind w:left="1653" w:hanging="360"/>
      </w:pPr>
      <w:rPr>
        <w:rFonts w:ascii="Wingdings" w:hAnsi="Wingdings" w:hint="default"/>
      </w:rPr>
    </w:lvl>
    <w:lvl w:ilvl="1" w:tplc="04090003" w:tentative="1">
      <w:start w:val="1"/>
      <w:numFmt w:val="bullet"/>
      <w:lvlText w:val="o"/>
      <w:lvlJc w:val="left"/>
      <w:pPr>
        <w:tabs>
          <w:tab w:val="num" w:pos="2013"/>
        </w:tabs>
        <w:ind w:left="2013" w:hanging="360"/>
      </w:pPr>
      <w:rPr>
        <w:rFonts w:ascii="Courier New" w:hAnsi="Courier New" w:cs="Courier New" w:hint="default"/>
      </w:rPr>
    </w:lvl>
    <w:lvl w:ilvl="2" w:tplc="04090005" w:tentative="1">
      <w:start w:val="1"/>
      <w:numFmt w:val="bullet"/>
      <w:lvlText w:val=""/>
      <w:lvlJc w:val="left"/>
      <w:pPr>
        <w:tabs>
          <w:tab w:val="num" w:pos="2733"/>
        </w:tabs>
        <w:ind w:left="2733" w:hanging="360"/>
      </w:pPr>
      <w:rPr>
        <w:rFonts w:ascii="Wingdings" w:hAnsi="Wingdings" w:hint="default"/>
      </w:rPr>
    </w:lvl>
    <w:lvl w:ilvl="3" w:tplc="04090001" w:tentative="1">
      <w:start w:val="1"/>
      <w:numFmt w:val="bullet"/>
      <w:lvlText w:val=""/>
      <w:lvlJc w:val="left"/>
      <w:pPr>
        <w:tabs>
          <w:tab w:val="num" w:pos="3453"/>
        </w:tabs>
        <w:ind w:left="3453" w:hanging="360"/>
      </w:pPr>
      <w:rPr>
        <w:rFonts w:ascii="Symbol" w:hAnsi="Symbol" w:hint="default"/>
      </w:rPr>
    </w:lvl>
    <w:lvl w:ilvl="4" w:tplc="04090003" w:tentative="1">
      <w:start w:val="1"/>
      <w:numFmt w:val="bullet"/>
      <w:lvlText w:val="o"/>
      <w:lvlJc w:val="left"/>
      <w:pPr>
        <w:tabs>
          <w:tab w:val="num" w:pos="4173"/>
        </w:tabs>
        <w:ind w:left="4173" w:hanging="360"/>
      </w:pPr>
      <w:rPr>
        <w:rFonts w:ascii="Courier New" w:hAnsi="Courier New" w:cs="Courier New" w:hint="default"/>
      </w:rPr>
    </w:lvl>
    <w:lvl w:ilvl="5" w:tplc="04090005" w:tentative="1">
      <w:start w:val="1"/>
      <w:numFmt w:val="bullet"/>
      <w:lvlText w:val=""/>
      <w:lvlJc w:val="left"/>
      <w:pPr>
        <w:tabs>
          <w:tab w:val="num" w:pos="4893"/>
        </w:tabs>
        <w:ind w:left="4893" w:hanging="360"/>
      </w:pPr>
      <w:rPr>
        <w:rFonts w:ascii="Wingdings" w:hAnsi="Wingdings" w:hint="default"/>
      </w:rPr>
    </w:lvl>
    <w:lvl w:ilvl="6" w:tplc="04090001" w:tentative="1">
      <w:start w:val="1"/>
      <w:numFmt w:val="bullet"/>
      <w:lvlText w:val=""/>
      <w:lvlJc w:val="left"/>
      <w:pPr>
        <w:tabs>
          <w:tab w:val="num" w:pos="5613"/>
        </w:tabs>
        <w:ind w:left="5613" w:hanging="360"/>
      </w:pPr>
      <w:rPr>
        <w:rFonts w:ascii="Symbol" w:hAnsi="Symbol" w:hint="default"/>
      </w:rPr>
    </w:lvl>
    <w:lvl w:ilvl="7" w:tplc="04090003" w:tentative="1">
      <w:start w:val="1"/>
      <w:numFmt w:val="bullet"/>
      <w:lvlText w:val="o"/>
      <w:lvlJc w:val="left"/>
      <w:pPr>
        <w:tabs>
          <w:tab w:val="num" w:pos="6333"/>
        </w:tabs>
        <w:ind w:left="6333" w:hanging="360"/>
      </w:pPr>
      <w:rPr>
        <w:rFonts w:ascii="Courier New" w:hAnsi="Courier New" w:cs="Courier New" w:hint="default"/>
      </w:rPr>
    </w:lvl>
    <w:lvl w:ilvl="8" w:tplc="04090005" w:tentative="1">
      <w:start w:val="1"/>
      <w:numFmt w:val="bullet"/>
      <w:lvlText w:val=""/>
      <w:lvlJc w:val="left"/>
      <w:pPr>
        <w:tabs>
          <w:tab w:val="num" w:pos="7053"/>
        </w:tabs>
        <w:ind w:left="7053" w:hanging="360"/>
      </w:pPr>
      <w:rPr>
        <w:rFonts w:ascii="Wingdings" w:hAnsi="Wingdings" w:hint="default"/>
      </w:rPr>
    </w:lvl>
  </w:abstractNum>
  <w:abstractNum w:abstractNumId="28" w15:restartNumberingAfterBreak="0">
    <w:nsid w:val="561D5F60"/>
    <w:multiLevelType w:val="hybridMultilevel"/>
    <w:tmpl w:val="FB8CDF34"/>
    <w:lvl w:ilvl="0" w:tplc="E2321E3A">
      <w:start w:val="2"/>
      <w:numFmt w:val="bullet"/>
      <w:lvlText w:val="-"/>
      <w:lvlJc w:val="left"/>
      <w:pPr>
        <w:tabs>
          <w:tab w:val="num" w:pos="720"/>
        </w:tabs>
        <w:ind w:left="720" w:hanging="360"/>
      </w:pPr>
      <w:rPr>
        <w:rFonts w:ascii="Times New Roman" w:eastAsia="Times New Roman" w:hAnsi="Times New Roman" w:cs="Times New Roman" w:hint="default"/>
      </w:rPr>
    </w:lvl>
    <w:lvl w:ilvl="1" w:tplc="FBD49D4C" w:tentative="1">
      <w:start w:val="1"/>
      <w:numFmt w:val="bullet"/>
      <w:lvlText w:val="o"/>
      <w:lvlJc w:val="left"/>
      <w:pPr>
        <w:tabs>
          <w:tab w:val="num" w:pos="1440"/>
        </w:tabs>
        <w:ind w:left="1440" w:hanging="360"/>
      </w:pPr>
      <w:rPr>
        <w:rFonts w:ascii="Courier New" w:hAnsi="Courier New" w:hint="default"/>
      </w:rPr>
    </w:lvl>
    <w:lvl w:ilvl="2" w:tplc="0C684F24" w:tentative="1">
      <w:start w:val="1"/>
      <w:numFmt w:val="bullet"/>
      <w:lvlText w:val=""/>
      <w:lvlJc w:val="left"/>
      <w:pPr>
        <w:tabs>
          <w:tab w:val="num" w:pos="2160"/>
        </w:tabs>
        <w:ind w:left="2160" w:hanging="360"/>
      </w:pPr>
      <w:rPr>
        <w:rFonts w:ascii="Wingdings" w:hAnsi="Wingdings" w:hint="default"/>
      </w:rPr>
    </w:lvl>
    <w:lvl w:ilvl="3" w:tplc="AD3A3130" w:tentative="1">
      <w:start w:val="1"/>
      <w:numFmt w:val="bullet"/>
      <w:lvlText w:val=""/>
      <w:lvlJc w:val="left"/>
      <w:pPr>
        <w:tabs>
          <w:tab w:val="num" w:pos="2880"/>
        </w:tabs>
        <w:ind w:left="2880" w:hanging="360"/>
      </w:pPr>
      <w:rPr>
        <w:rFonts w:ascii="Symbol" w:hAnsi="Symbol" w:hint="default"/>
      </w:rPr>
    </w:lvl>
    <w:lvl w:ilvl="4" w:tplc="76A047FC" w:tentative="1">
      <w:start w:val="1"/>
      <w:numFmt w:val="bullet"/>
      <w:lvlText w:val="o"/>
      <w:lvlJc w:val="left"/>
      <w:pPr>
        <w:tabs>
          <w:tab w:val="num" w:pos="3600"/>
        </w:tabs>
        <w:ind w:left="3600" w:hanging="360"/>
      </w:pPr>
      <w:rPr>
        <w:rFonts w:ascii="Courier New" w:hAnsi="Courier New" w:hint="default"/>
      </w:rPr>
    </w:lvl>
    <w:lvl w:ilvl="5" w:tplc="1A802518" w:tentative="1">
      <w:start w:val="1"/>
      <w:numFmt w:val="bullet"/>
      <w:lvlText w:val=""/>
      <w:lvlJc w:val="left"/>
      <w:pPr>
        <w:tabs>
          <w:tab w:val="num" w:pos="4320"/>
        </w:tabs>
        <w:ind w:left="4320" w:hanging="360"/>
      </w:pPr>
      <w:rPr>
        <w:rFonts w:ascii="Wingdings" w:hAnsi="Wingdings" w:hint="default"/>
      </w:rPr>
    </w:lvl>
    <w:lvl w:ilvl="6" w:tplc="70805356" w:tentative="1">
      <w:start w:val="1"/>
      <w:numFmt w:val="bullet"/>
      <w:lvlText w:val=""/>
      <w:lvlJc w:val="left"/>
      <w:pPr>
        <w:tabs>
          <w:tab w:val="num" w:pos="5040"/>
        </w:tabs>
        <w:ind w:left="5040" w:hanging="360"/>
      </w:pPr>
      <w:rPr>
        <w:rFonts w:ascii="Symbol" w:hAnsi="Symbol" w:hint="default"/>
      </w:rPr>
    </w:lvl>
    <w:lvl w:ilvl="7" w:tplc="8EF4BAE0" w:tentative="1">
      <w:start w:val="1"/>
      <w:numFmt w:val="bullet"/>
      <w:lvlText w:val="o"/>
      <w:lvlJc w:val="left"/>
      <w:pPr>
        <w:tabs>
          <w:tab w:val="num" w:pos="5760"/>
        </w:tabs>
        <w:ind w:left="5760" w:hanging="360"/>
      </w:pPr>
      <w:rPr>
        <w:rFonts w:ascii="Courier New" w:hAnsi="Courier New" w:hint="default"/>
      </w:rPr>
    </w:lvl>
    <w:lvl w:ilvl="8" w:tplc="9558B6E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274B5E"/>
    <w:multiLevelType w:val="hybridMultilevel"/>
    <w:tmpl w:val="46FA4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F56E7E"/>
    <w:multiLevelType w:val="hybridMultilevel"/>
    <w:tmpl w:val="49F49B7A"/>
    <w:lvl w:ilvl="0" w:tplc="6DE2E28A">
      <w:numFmt w:val="bullet"/>
      <w:lvlText w:val="-"/>
      <w:lvlJc w:val="left"/>
      <w:pPr>
        <w:ind w:left="405" w:hanging="360"/>
      </w:pPr>
      <w:rPr>
        <w:rFonts w:ascii="Times New Roman" w:eastAsia="Times New Roman" w:hAnsi="Times New Roman" w:cs="Times New Roman" w:hint="default"/>
        <w:i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1" w15:restartNumberingAfterBreak="0">
    <w:nsid w:val="5DC2196E"/>
    <w:multiLevelType w:val="multilevel"/>
    <w:tmpl w:val="17CE993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color w:val="000000"/>
      </w:rPr>
    </w:lvl>
    <w:lvl w:ilvl="2">
      <w:start w:val="1"/>
      <w:numFmt w:val="decimal"/>
      <w:suff w:val="space"/>
      <w:lvlText w:val="%1.%2.%3."/>
      <w:lvlJc w:val="left"/>
      <w:pPr>
        <w:ind w:left="0" w:firstLine="0"/>
      </w:pPr>
      <w:rPr>
        <w:rFonts w:hint="default"/>
      </w:rPr>
    </w:lvl>
    <w:lvl w:ilvl="3">
      <w:start w:val="1"/>
      <w:numFmt w:val="lowerLetter"/>
      <w:suff w:val="space"/>
      <w:lvlText w:val="%4)"/>
      <w:lvlJc w:val="left"/>
      <w:pPr>
        <w:ind w:left="0" w:firstLine="720"/>
      </w:pPr>
      <w:rPr>
        <w:rFonts w:hint="default"/>
        <w:i w:val="0"/>
        <w:color w:val="00000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10TiliuthamkhoNidung"/>
      <w:lvlText w:val="[%9]"/>
      <w:lvlJc w:val="left"/>
      <w:pPr>
        <w:tabs>
          <w:tab w:val="num" w:pos="596"/>
        </w:tabs>
        <w:ind w:left="596" w:hanging="454"/>
      </w:pPr>
      <w:rPr>
        <w:rFonts w:hint="default"/>
        <w:sz w:val="16"/>
        <w:szCs w:val="16"/>
        <w:vertAlign w:val="baseline"/>
      </w:rPr>
    </w:lvl>
  </w:abstractNum>
  <w:abstractNum w:abstractNumId="32" w15:restartNumberingAfterBreak="0">
    <w:nsid w:val="5E1927E7"/>
    <w:multiLevelType w:val="hybridMultilevel"/>
    <w:tmpl w:val="29B422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2B1BEA"/>
    <w:multiLevelType w:val="hybridMultilevel"/>
    <w:tmpl w:val="52AE5400"/>
    <w:lvl w:ilvl="0" w:tplc="9DF4278A">
      <w:start w:val="1"/>
      <w:numFmt w:val="upperRoman"/>
      <w:lvlText w:val="%1."/>
      <w:lvlJc w:val="right"/>
      <w:pPr>
        <w:tabs>
          <w:tab w:val="num" w:pos="1004"/>
        </w:tabs>
        <w:ind w:left="1004" w:hanging="180"/>
      </w:pPr>
    </w:lvl>
    <w:lvl w:ilvl="1" w:tplc="4274C04A" w:tentative="1">
      <w:start w:val="1"/>
      <w:numFmt w:val="lowerLetter"/>
      <w:lvlText w:val="%2."/>
      <w:lvlJc w:val="left"/>
      <w:pPr>
        <w:tabs>
          <w:tab w:val="num" w:pos="1724"/>
        </w:tabs>
        <w:ind w:left="1724" w:hanging="360"/>
      </w:pPr>
    </w:lvl>
    <w:lvl w:ilvl="2" w:tplc="55FE53CC" w:tentative="1">
      <w:start w:val="1"/>
      <w:numFmt w:val="lowerRoman"/>
      <w:lvlText w:val="%3."/>
      <w:lvlJc w:val="right"/>
      <w:pPr>
        <w:tabs>
          <w:tab w:val="num" w:pos="2444"/>
        </w:tabs>
        <w:ind w:left="2444" w:hanging="180"/>
      </w:pPr>
    </w:lvl>
    <w:lvl w:ilvl="3" w:tplc="371ECBAE" w:tentative="1">
      <w:start w:val="1"/>
      <w:numFmt w:val="decimal"/>
      <w:lvlText w:val="%4."/>
      <w:lvlJc w:val="left"/>
      <w:pPr>
        <w:tabs>
          <w:tab w:val="num" w:pos="3164"/>
        </w:tabs>
        <w:ind w:left="3164" w:hanging="360"/>
      </w:pPr>
    </w:lvl>
    <w:lvl w:ilvl="4" w:tplc="75F499D2" w:tentative="1">
      <w:start w:val="1"/>
      <w:numFmt w:val="lowerLetter"/>
      <w:lvlText w:val="%5."/>
      <w:lvlJc w:val="left"/>
      <w:pPr>
        <w:tabs>
          <w:tab w:val="num" w:pos="3884"/>
        </w:tabs>
        <w:ind w:left="3884" w:hanging="360"/>
      </w:pPr>
    </w:lvl>
    <w:lvl w:ilvl="5" w:tplc="AEA68756" w:tentative="1">
      <w:start w:val="1"/>
      <w:numFmt w:val="lowerRoman"/>
      <w:lvlText w:val="%6."/>
      <w:lvlJc w:val="right"/>
      <w:pPr>
        <w:tabs>
          <w:tab w:val="num" w:pos="4604"/>
        </w:tabs>
        <w:ind w:left="4604" w:hanging="180"/>
      </w:pPr>
    </w:lvl>
    <w:lvl w:ilvl="6" w:tplc="78888898" w:tentative="1">
      <w:start w:val="1"/>
      <w:numFmt w:val="decimal"/>
      <w:lvlText w:val="%7."/>
      <w:lvlJc w:val="left"/>
      <w:pPr>
        <w:tabs>
          <w:tab w:val="num" w:pos="5324"/>
        </w:tabs>
        <w:ind w:left="5324" w:hanging="360"/>
      </w:pPr>
    </w:lvl>
    <w:lvl w:ilvl="7" w:tplc="B49448C4" w:tentative="1">
      <w:start w:val="1"/>
      <w:numFmt w:val="lowerLetter"/>
      <w:lvlText w:val="%8."/>
      <w:lvlJc w:val="left"/>
      <w:pPr>
        <w:tabs>
          <w:tab w:val="num" w:pos="6044"/>
        </w:tabs>
        <w:ind w:left="6044" w:hanging="360"/>
      </w:pPr>
    </w:lvl>
    <w:lvl w:ilvl="8" w:tplc="094E6B38" w:tentative="1">
      <w:start w:val="1"/>
      <w:numFmt w:val="lowerRoman"/>
      <w:lvlText w:val="%9."/>
      <w:lvlJc w:val="right"/>
      <w:pPr>
        <w:tabs>
          <w:tab w:val="num" w:pos="6764"/>
        </w:tabs>
        <w:ind w:left="6764" w:hanging="180"/>
      </w:pPr>
    </w:lvl>
  </w:abstractNum>
  <w:abstractNum w:abstractNumId="34" w15:restartNumberingAfterBreak="0">
    <w:nsid w:val="62011AF8"/>
    <w:multiLevelType w:val="hybridMultilevel"/>
    <w:tmpl w:val="42E498BA"/>
    <w:lvl w:ilvl="0" w:tplc="0240B1A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2A2455"/>
    <w:multiLevelType w:val="hybridMultilevel"/>
    <w:tmpl w:val="06E28940"/>
    <w:lvl w:ilvl="0" w:tplc="DEAC1DD2">
      <w:start w:val="1"/>
      <w:numFmt w:val="bullet"/>
      <w:lvlText w:val=""/>
      <w:lvlJc w:val="left"/>
      <w:pPr>
        <w:ind w:left="720" w:hanging="360"/>
      </w:pPr>
      <w:rPr>
        <w:rFonts w:ascii="Symbol" w:hAnsi="Symbol" w:hint="default"/>
      </w:rPr>
    </w:lvl>
    <w:lvl w:ilvl="1" w:tplc="8320E9FC" w:tentative="1">
      <w:start w:val="1"/>
      <w:numFmt w:val="bullet"/>
      <w:lvlText w:val="o"/>
      <w:lvlJc w:val="left"/>
      <w:pPr>
        <w:ind w:left="1440" w:hanging="360"/>
      </w:pPr>
      <w:rPr>
        <w:rFonts w:ascii="Courier New" w:hAnsi="Courier New" w:cs="Courier New" w:hint="default"/>
      </w:rPr>
    </w:lvl>
    <w:lvl w:ilvl="2" w:tplc="10ACD3E8" w:tentative="1">
      <w:start w:val="1"/>
      <w:numFmt w:val="bullet"/>
      <w:lvlText w:val=""/>
      <w:lvlJc w:val="left"/>
      <w:pPr>
        <w:ind w:left="2160" w:hanging="360"/>
      </w:pPr>
      <w:rPr>
        <w:rFonts w:ascii="Wingdings" w:hAnsi="Wingdings" w:hint="default"/>
      </w:rPr>
    </w:lvl>
    <w:lvl w:ilvl="3" w:tplc="2B388680" w:tentative="1">
      <w:start w:val="1"/>
      <w:numFmt w:val="bullet"/>
      <w:lvlText w:val=""/>
      <w:lvlJc w:val="left"/>
      <w:pPr>
        <w:ind w:left="2880" w:hanging="360"/>
      </w:pPr>
      <w:rPr>
        <w:rFonts w:ascii="Symbol" w:hAnsi="Symbol" w:hint="default"/>
      </w:rPr>
    </w:lvl>
    <w:lvl w:ilvl="4" w:tplc="8722A622" w:tentative="1">
      <w:start w:val="1"/>
      <w:numFmt w:val="bullet"/>
      <w:lvlText w:val="o"/>
      <w:lvlJc w:val="left"/>
      <w:pPr>
        <w:ind w:left="3600" w:hanging="360"/>
      </w:pPr>
      <w:rPr>
        <w:rFonts w:ascii="Courier New" w:hAnsi="Courier New" w:cs="Courier New" w:hint="default"/>
      </w:rPr>
    </w:lvl>
    <w:lvl w:ilvl="5" w:tplc="EE48DFF8" w:tentative="1">
      <w:start w:val="1"/>
      <w:numFmt w:val="bullet"/>
      <w:lvlText w:val=""/>
      <w:lvlJc w:val="left"/>
      <w:pPr>
        <w:ind w:left="4320" w:hanging="360"/>
      </w:pPr>
      <w:rPr>
        <w:rFonts w:ascii="Wingdings" w:hAnsi="Wingdings" w:hint="default"/>
      </w:rPr>
    </w:lvl>
    <w:lvl w:ilvl="6" w:tplc="B2947818" w:tentative="1">
      <w:start w:val="1"/>
      <w:numFmt w:val="bullet"/>
      <w:lvlText w:val=""/>
      <w:lvlJc w:val="left"/>
      <w:pPr>
        <w:ind w:left="5040" w:hanging="360"/>
      </w:pPr>
      <w:rPr>
        <w:rFonts w:ascii="Symbol" w:hAnsi="Symbol" w:hint="default"/>
      </w:rPr>
    </w:lvl>
    <w:lvl w:ilvl="7" w:tplc="AAB8C2B8" w:tentative="1">
      <w:start w:val="1"/>
      <w:numFmt w:val="bullet"/>
      <w:lvlText w:val="o"/>
      <w:lvlJc w:val="left"/>
      <w:pPr>
        <w:ind w:left="5760" w:hanging="360"/>
      </w:pPr>
      <w:rPr>
        <w:rFonts w:ascii="Courier New" w:hAnsi="Courier New" w:cs="Courier New" w:hint="default"/>
      </w:rPr>
    </w:lvl>
    <w:lvl w:ilvl="8" w:tplc="AB1CDEA6" w:tentative="1">
      <w:start w:val="1"/>
      <w:numFmt w:val="bullet"/>
      <w:lvlText w:val=""/>
      <w:lvlJc w:val="left"/>
      <w:pPr>
        <w:ind w:left="6480" w:hanging="360"/>
      </w:pPr>
      <w:rPr>
        <w:rFonts w:ascii="Wingdings" w:hAnsi="Wingdings" w:hint="default"/>
      </w:rPr>
    </w:lvl>
  </w:abstractNum>
  <w:abstractNum w:abstractNumId="36" w15:restartNumberingAfterBreak="0">
    <w:nsid w:val="64107F0E"/>
    <w:multiLevelType w:val="hybridMultilevel"/>
    <w:tmpl w:val="BE58A7CA"/>
    <w:lvl w:ilvl="0" w:tplc="289898E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6DC5C82"/>
    <w:multiLevelType w:val="hybridMultilevel"/>
    <w:tmpl w:val="AE0C900E"/>
    <w:lvl w:ilvl="0" w:tplc="C7BC15A4">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15:restartNumberingAfterBreak="0">
    <w:nsid w:val="68C06B5B"/>
    <w:multiLevelType w:val="singleLevel"/>
    <w:tmpl w:val="6B064CA6"/>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39" w15:restartNumberingAfterBreak="0">
    <w:nsid w:val="6A8D029F"/>
    <w:multiLevelType w:val="multilevel"/>
    <w:tmpl w:val="008AED60"/>
    <w:lvl w:ilvl="0">
      <w:start w:val="1"/>
      <w:numFmt w:val="bullet"/>
      <w:lvlText w:val=""/>
      <w:lvlJc w:val="left"/>
      <w:pPr>
        <w:ind w:left="284" w:firstLine="0"/>
      </w:pPr>
      <w:rPr>
        <w:rFonts w:ascii="Symbol" w:hAnsi="Symbol" w:hint="default"/>
      </w:rPr>
    </w:lvl>
    <w:lvl w:ilvl="1">
      <w:start w:val="1"/>
      <w:numFmt w:val="bullet"/>
      <w:lvlText w:val="+"/>
      <w:lvlJc w:val="left"/>
      <w:pPr>
        <w:ind w:left="568" w:firstLine="0"/>
      </w:pPr>
      <w:rPr>
        <w:rFonts w:ascii="Courier New" w:hAnsi="Courier New" w:hint="default"/>
      </w:rPr>
    </w:lvl>
    <w:lvl w:ilvl="2">
      <w:start w:val="1"/>
      <w:numFmt w:val="bullet"/>
      <w:lvlText w:val=""/>
      <w:lvlJc w:val="left"/>
      <w:pPr>
        <w:ind w:left="852" w:firstLine="0"/>
      </w:pPr>
      <w:rPr>
        <w:rFonts w:ascii="Symbol" w:hAnsi="Symbol" w:hint="default"/>
      </w:rPr>
    </w:lvl>
    <w:lvl w:ilvl="3">
      <w:start w:val="1"/>
      <w:numFmt w:val="bullet"/>
      <w:lvlText w:val=""/>
      <w:lvlJc w:val="left"/>
      <w:pPr>
        <w:ind w:left="1136" w:firstLine="0"/>
      </w:pPr>
      <w:rPr>
        <w:rFonts w:ascii="Symbol" w:hAnsi="Symbol" w:hint="default"/>
      </w:rPr>
    </w:lvl>
    <w:lvl w:ilvl="4">
      <w:start w:val="1"/>
      <w:numFmt w:val="bullet"/>
      <w:lvlText w:val="o"/>
      <w:lvlJc w:val="left"/>
      <w:pPr>
        <w:ind w:left="1420" w:firstLine="0"/>
      </w:pPr>
      <w:rPr>
        <w:rFonts w:ascii="Courier New" w:hAnsi="Courier New" w:cs="Courier New"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Symbol" w:hAnsi="Symbol" w:hint="default"/>
      </w:rPr>
    </w:lvl>
    <w:lvl w:ilvl="7">
      <w:start w:val="1"/>
      <w:numFmt w:val="bullet"/>
      <w:lvlText w:val="o"/>
      <w:lvlJc w:val="left"/>
      <w:pPr>
        <w:ind w:left="2272" w:firstLine="0"/>
      </w:pPr>
      <w:rPr>
        <w:rFonts w:ascii="Courier New" w:hAnsi="Courier New" w:cs="Courier New" w:hint="default"/>
      </w:rPr>
    </w:lvl>
    <w:lvl w:ilvl="8">
      <w:start w:val="1"/>
      <w:numFmt w:val="bullet"/>
      <w:lvlText w:val=""/>
      <w:lvlJc w:val="left"/>
      <w:pPr>
        <w:ind w:left="2556" w:firstLine="0"/>
      </w:pPr>
      <w:rPr>
        <w:rFonts w:ascii="Wingdings" w:hAnsi="Wingdings" w:hint="default"/>
      </w:rPr>
    </w:lvl>
  </w:abstractNum>
  <w:abstractNum w:abstractNumId="40" w15:restartNumberingAfterBreak="0">
    <w:nsid w:val="6B9B688A"/>
    <w:multiLevelType w:val="hybridMultilevel"/>
    <w:tmpl w:val="AD12F7B0"/>
    <w:lvl w:ilvl="0" w:tplc="54909172">
      <w:numFmt w:val="bullet"/>
      <w:lvlText w:val="-"/>
      <w:lvlJc w:val="left"/>
      <w:pPr>
        <w:tabs>
          <w:tab w:val="num" w:pos="720"/>
        </w:tabs>
        <w:ind w:left="720" w:hanging="360"/>
      </w:pPr>
      <w:rPr>
        <w:rFonts w:ascii="Times New Roman" w:eastAsia="Times New Roman" w:hAnsi="Times New Roman" w:cs="Times New Roman" w:hint="default"/>
      </w:rPr>
    </w:lvl>
    <w:lvl w:ilvl="1" w:tplc="6166FC7C" w:tentative="1">
      <w:start w:val="1"/>
      <w:numFmt w:val="bullet"/>
      <w:lvlText w:val="o"/>
      <w:lvlJc w:val="left"/>
      <w:pPr>
        <w:tabs>
          <w:tab w:val="num" w:pos="1440"/>
        </w:tabs>
        <w:ind w:left="1440" w:hanging="360"/>
      </w:pPr>
      <w:rPr>
        <w:rFonts w:ascii="Courier New" w:hAnsi="Courier New" w:hint="default"/>
      </w:rPr>
    </w:lvl>
    <w:lvl w:ilvl="2" w:tplc="C4BC1710" w:tentative="1">
      <w:start w:val="1"/>
      <w:numFmt w:val="bullet"/>
      <w:lvlText w:val=""/>
      <w:lvlJc w:val="left"/>
      <w:pPr>
        <w:tabs>
          <w:tab w:val="num" w:pos="2160"/>
        </w:tabs>
        <w:ind w:left="2160" w:hanging="360"/>
      </w:pPr>
      <w:rPr>
        <w:rFonts w:ascii="Wingdings" w:hAnsi="Wingdings" w:hint="default"/>
      </w:rPr>
    </w:lvl>
    <w:lvl w:ilvl="3" w:tplc="2B4453EC" w:tentative="1">
      <w:start w:val="1"/>
      <w:numFmt w:val="bullet"/>
      <w:lvlText w:val=""/>
      <w:lvlJc w:val="left"/>
      <w:pPr>
        <w:tabs>
          <w:tab w:val="num" w:pos="2880"/>
        </w:tabs>
        <w:ind w:left="2880" w:hanging="360"/>
      </w:pPr>
      <w:rPr>
        <w:rFonts w:ascii="Symbol" w:hAnsi="Symbol" w:hint="default"/>
      </w:rPr>
    </w:lvl>
    <w:lvl w:ilvl="4" w:tplc="E7C87006" w:tentative="1">
      <w:start w:val="1"/>
      <w:numFmt w:val="bullet"/>
      <w:lvlText w:val="o"/>
      <w:lvlJc w:val="left"/>
      <w:pPr>
        <w:tabs>
          <w:tab w:val="num" w:pos="3600"/>
        </w:tabs>
        <w:ind w:left="3600" w:hanging="360"/>
      </w:pPr>
      <w:rPr>
        <w:rFonts w:ascii="Courier New" w:hAnsi="Courier New" w:hint="default"/>
      </w:rPr>
    </w:lvl>
    <w:lvl w:ilvl="5" w:tplc="376441A2" w:tentative="1">
      <w:start w:val="1"/>
      <w:numFmt w:val="bullet"/>
      <w:lvlText w:val=""/>
      <w:lvlJc w:val="left"/>
      <w:pPr>
        <w:tabs>
          <w:tab w:val="num" w:pos="4320"/>
        </w:tabs>
        <w:ind w:left="4320" w:hanging="360"/>
      </w:pPr>
      <w:rPr>
        <w:rFonts w:ascii="Wingdings" w:hAnsi="Wingdings" w:hint="default"/>
      </w:rPr>
    </w:lvl>
    <w:lvl w:ilvl="6" w:tplc="54744270" w:tentative="1">
      <w:start w:val="1"/>
      <w:numFmt w:val="bullet"/>
      <w:lvlText w:val=""/>
      <w:lvlJc w:val="left"/>
      <w:pPr>
        <w:tabs>
          <w:tab w:val="num" w:pos="5040"/>
        </w:tabs>
        <w:ind w:left="5040" w:hanging="360"/>
      </w:pPr>
      <w:rPr>
        <w:rFonts w:ascii="Symbol" w:hAnsi="Symbol" w:hint="default"/>
      </w:rPr>
    </w:lvl>
    <w:lvl w:ilvl="7" w:tplc="58BC7C06" w:tentative="1">
      <w:start w:val="1"/>
      <w:numFmt w:val="bullet"/>
      <w:lvlText w:val="o"/>
      <w:lvlJc w:val="left"/>
      <w:pPr>
        <w:tabs>
          <w:tab w:val="num" w:pos="5760"/>
        </w:tabs>
        <w:ind w:left="5760" w:hanging="360"/>
      </w:pPr>
      <w:rPr>
        <w:rFonts w:ascii="Courier New" w:hAnsi="Courier New" w:hint="default"/>
      </w:rPr>
    </w:lvl>
    <w:lvl w:ilvl="8" w:tplc="944A40E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585416"/>
    <w:multiLevelType w:val="hybridMultilevel"/>
    <w:tmpl w:val="E2D8FB3C"/>
    <w:lvl w:ilvl="0" w:tplc="19D6817C">
      <w:start w:val="20"/>
      <w:numFmt w:val="decimal"/>
      <w:lvlText w:val="%1."/>
      <w:lvlJc w:val="left"/>
      <w:pPr>
        <w:ind w:left="1085" w:hanging="375"/>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2" w15:restartNumberingAfterBreak="0">
    <w:nsid w:val="70066BD2"/>
    <w:multiLevelType w:val="hybridMultilevel"/>
    <w:tmpl w:val="61CE9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3617DF"/>
    <w:multiLevelType w:val="hybridMultilevel"/>
    <w:tmpl w:val="D5723294"/>
    <w:lvl w:ilvl="0" w:tplc="06A2F4B4">
      <w:start w:val="1"/>
      <w:numFmt w:val="bullet"/>
      <w:lvlText w:val=""/>
      <w:lvlJc w:val="left"/>
      <w:pPr>
        <w:tabs>
          <w:tab w:val="num" w:pos="1653"/>
        </w:tabs>
        <w:ind w:left="1653" w:hanging="360"/>
      </w:pPr>
      <w:rPr>
        <w:rFonts w:ascii="Wingdings" w:hAnsi="Wingdings" w:hint="default"/>
      </w:rPr>
    </w:lvl>
    <w:lvl w:ilvl="1" w:tplc="04090003" w:tentative="1">
      <w:start w:val="1"/>
      <w:numFmt w:val="bullet"/>
      <w:lvlText w:val="o"/>
      <w:lvlJc w:val="left"/>
      <w:pPr>
        <w:tabs>
          <w:tab w:val="num" w:pos="2013"/>
        </w:tabs>
        <w:ind w:left="2013" w:hanging="360"/>
      </w:pPr>
      <w:rPr>
        <w:rFonts w:ascii="Courier New" w:hAnsi="Courier New" w:cs="Courier New" w:hint="default"/>
      </w:rPr>
    </w:lvl>
    <w:lvl w:ilvl="2" w:tplc="04090005" w:tentative="1">
      <w:start w:val="1"/>
      <w:numFmt w:val="bullet"/>
      <w:lvlText w:val=""/>
      <w:lvlJc w:val="left"/>
      <w:pPr>
        <w:tabs>
          <w:tab w:val="num" w:pos="2733"/>
        </w:tabs>
        <w:ind w:left="2733" w:hanging="360"/>
      </w:pPr>
      <w:rPr>
        <w:rFonts w:ascii="Wingdings" w:hAnsi="Wingdings" w:hint="default"/>
      </w:rPr>
    </w:lvl>
    <w:lvl w:ilvl="3" w:tplc="04090001" w:tentative="1">
      <w:start w:val="1"/>
      <w:numFmt w:val="bullet"/>
      <w:lvlText w:val=""/>
      <w:lvlJc w:val="left"/>
      <w:pPr>
        <w:tabs>
          <w:tab w:val="num" w:pos="3453"/>
        </w:tabs>
        <w:ind w:left="3453" w:hanging="360"/>
      </w:pPr>
      <w:rPr>
        <w:rFonts w:ascii="Symbol" w:hAnsi="Symbol" w:hint="default"/>
      </w:rPr>
    </w:lvl>
    <w:lvl w:ilvl="4" w:tplc="04090003" w:tentative="1">
      <w:start w:val="1"/>
      <w:numFmt w:val="bullet"/>
      <w:lvlText w:val="o"/>
      <w:lvlJc w:val="left"/>
      <w:pPr>
        <w:tabs>
          <w:tab w:val="num" w:pos="4173"/>
        </w:tabs>
        <w:ind w:left="4173" w:hanging="360"/>
      </w:pPr>
      <w:rPr>
        <w:rFonts w:ascii="Courier New" w:hAnsi="Courier New" w:cs="Courier New" w:hint="default"/>
      </w:rPr>
    </w:lvl>
    <w:lvl w:ilvl="5" w:tplc="04090005" w:tentative="1">
      <w:start w:val="1"/>
      <w:numFmt w:val="bullet"/>
      <w:lvlText w:val=""/>
      <w:lvlJc w:val="left"/>
      <w:pPr>
        <w:tabs>
          <w:tab w:val="num" w:pos="4893"/>
        </w:tabs>
        <w:ind w:left="4893" w:hanging="360"/>
      </w:pPr>
      <w:rPr>
        <w:rFonts w:ascii="Wingdings" w:hAnsi="Wingdings" w:hint="default"/>
      </w:rPr>
    </w:lvl>
    <w:lvl w:ilvl="6" w:tplc="04090001" w:tentative="1">
      <w:start w:val="1"/>
      <w:numFmt w:val="bullet"/>
      <w:lvlText w:val=""/>
      <w:lvlJc w:val="left"/>
      <w:pPr>
        <w:tabs>
          <w:tab w:val="num" w:pos="5613"/>
        </w:tabs>
        <w:ind w:left="5613" w:hanging="360"/>
      </w:pPr>
      <w:rPr>
        <w:rFonts w:ascii="Symbol" w:hAnsi="Symbol" w:hint="default"/>
      </w:rPr>
    </w:lvl>
    <w:lvl w:ilvl="7" w:tplc="04090003" w:tentative="1">
      <w:start w:val="1"/>
      <w:numFmt w:val="bullet"/>
      <w:lvlText w:val="o"/>
      <w:lvlJc w:val="left"/>
      <w:pPr>
        <w:tabs>
          <w:tab w:val="num" w:pos="6333"/>
        </w:tabs>
        <w:ind w:left="6333" w:hanging="360"/>
      </w:pPr>
      <w:rPr>
        <w:rFonts w:ascii="Courier New" w:hAnsi="Courier New" w:cs="Courier New" w:hint="default"/>
      </w:rPr>
    </w:lvl>
    <w:lvl w:ilvl="8" w:tplc="04090005" w:tentative="1">
      <w:start w:val="1"/>
      <w:numFmt w:val="bullet"/>
      <w:lvlText w:val=""/>
      <w:lvlJc w:val="left"/>
      <w:pPr>
        <w:tabs>
          <w:tab w:val="num" w:pos="7053"/>
        </w:tabs>
        <w:ind w:left="7053" w:hanging="360"/>
      </w:pPr>
      <w:rPr>
        <w:rFonts w:ascii="Wingdings" w:hAnsi="Wingdings" w:hint="default"/>
      </w:rPr>
    </w:lvl>
  </w:abstractNum>
  <w:abstractNum w:abstractNumId="44" w15:restartNumberingAfterBreak="0">
    <w:nsid w:val="723642F2"/>
    <w:multiLevelType w:val="hybridMultilevel"/>
    <w:tmpl w:val="9A10EECC"/>
    <w:lvl w:ilvl="0" w:tplc="173E185A">
      <w:start w:val="2"/>
      <w:numFmt w:val="lowerLetter"/>
      <w:lvlText w:val="%1."/>
      <w:lvlJc w:val="left"/>
      <w:pPr>
        <w:tabs>
          <w:tab w:val="num" w:pos="1037"/>
        </w:tabs>
        <w:ind w:left="1037" w:hanging="360"/>
      </w:pPr>
      <w:rPr>
        <w:rFonts w:cs="Times New Roman" w:hint="default"/>
        <w:i/>
      </w:rPr>
    </w:lvl>
    <w:lvl w:ilvl="1" w:tplc="04090019" w:tentative="1">
      <w:start w:val="1"/>
      <w:numFmt w:val="lowerLetter"/>
      <w:lvlText w:val="%2."/>
      <w:lvlJc w:val="left"/>
      <w:pPr>
        <w:tabs>
          <w:tab w:val="num" w:pos="1757"/>
        </w:tabs>
        <w:ind w:left="1757" w:hanging="360"/>
      </w:pPr>
      <w:rPr>
        <w:rFonts w:cs="Times New Roman"/>
      </w:rPr>
    </w:lvl>
    <w:lvl w:ilvl="2" w:tplc="0409001B" w:tentative="1">
      <w:start w:val="1"/>
      <w:numFmt w:val="lowerRoman"/>
      <w:lvlText w:val="%3."/>
      <w:lvlJc w:val="right"/>
      <w:pPr>
        <w:tabs>
          <w:tab w:val="num" w:pos="2477"/>
        </w:tabs>
        <w:ind w:left="2477" w:hanging="180"/>
      </w:pPr>
      <w:rPr>
        <w:rFonts w:cs="Times New Roman"/>
      </w:rPr>
    </w:lvl>
    <w:lvl w:ilvl="3" w:tplc="0409000F" w:tentative="1">
      <w:start w:val="1"/>
      <w:numFmt w:val="decimal"/>
      <w:lvlText w:val="%4."/>
      <w:lvlJc w:val="left"/>
      <w:pPr>
        <w:tabs>
          <w:tab w:val="num" w:pos="3197"/>
        </w:tabs>
        <w:ind w:left="3197" w:hanging="360"/>
      </w:pPr>
      <w:rPr>
        <w:rFonts w:cs="Times New Roman"/>
      </w:rPr>
    </w:lvl>
    <w:lvl w:ilvl="4" w:tplc="04090019" w:tentative="1">
      <w:start w:val="1"/>
      <w:numFmt w:val="lowerLetter"/>
      <w:lvlText w:val="%5."/>
      <w:lvlJc w:val="left"/>
      <w:pPr>
        <w:tabs>
          <w:tab w:val="num" w:pos="3917"/>
        </w:tabs>
        <w:ind w:left="3917" w:hanging="360"/>
      </w:pPr>
      <w:rPr>
        <w:rFonts w:cs="Times New Roman"/>
      </w:rPr>
    </w:lvl>
    <w:lvl w:ilvl="5" w:tplc="0409001B" w:tentative="1">
      <w:start w:val="1"/>
      <w:numFmt w:val="lowerRoman"/>
      <w:lvlText w:val="%6."/>
      <w:lvlJc w:val="right"/>
      <w:pPr>
        <w:tabs>
          <w:tab w:val="num" w:pos="4637"/>
        </w:tabs>
        <w:ind w:left="4637" w:hanging="180"/>
      </w:pPr>
      <w:rPr>
        <w:rFonts w:cs="Times New Roman"/>
      </w:rPr>
    </w:lvl>
    <w:lvl w:ilvl="6" w:tplc="0409000F" w:tentative="1">
      <w:start w:val="1"/>
      <w:numFmt w:val="decimal"/>
      <w:lvlText w:val="%7."/>
      <w:lvlJc w:val="left"/>
      <w:pPr>
        <w:tabs>
          <w:tab w:val="num" w:pos="5357"/>
        </w:tabs>
        <w:ind w:left="5357" w:hanging="360"/>
      </w:pPr>
      <w:rPr>
        <w:rFonts w:cs="Times New Roman"/>
      </w:rPr>
    </w:lvl>
    <w:lvl w:ilvl="7" w:tplc="04090019" w:tentative="1">
      <w:start w:val="1"/>
      <w:numFmt w:val="lowerLetter"/>
      <w:lvlText w:val="%8."/>
      <w:lvlJc w:val="left"/>
      <w:pPr>
        <w:tabs>
          <w:tab w:val="num" w:pos="6077"/>
        </w:tabs>
        <w:ind w:left="6077" w:hanging="360"/>
      </w:pPr>
      <w:rPr>
        <w:rFonts w:cs="Times New Roman"/>
      </w:rPr>
    </w:lvl>
    <w:lvl w:ilvl="8" w:tplc="0409001B" w:tentative="1">
      <w:start w:val="1"/>
      <w:numFmt w:val="lowerRoman"/>
      <w:lvlText w:val="%9."/>
      <w:lvlJc w:val="right"/>
      <w:pPr>
        <w:tabs>
          <w:tab w:val="num" w:pos="6797"/>
        </w:tabs>
        <w:ind w:left="6797" w:hanging="180"/>
      </w:pPr>
      <w:rPr>
        <w:rFonts w:cs="Times New Roman"/>
      </w:rPr>
    </w:lvl>
  </w:abstractNum>
  <w:abstractNum w:abstractNumId="45" w15:restartNumberingAfterBreak="0">
    <w:nsid w:val="729F1C96"/>
    <w:multiLevelType w:val="hybridMultilevel"/>
    <w:tmpl w:val="32B005A8"/>
    <w:lvl w:ilvl="0" w:tplc="B8089DC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021E1A"/>
    <w:multiLevelType w:val="multilevel"/>
    <w:tmpl w:val="9A10EECC"/>
    <w:lvl w:ilvl="0">
      <w:start w:val="2"/>
      <w:numFmt w:val="lowerLetter"/>
      <w:lvlText w:val="%1."/>
      <w:lvlJc w:val="left"/>
      <w:pPr>
        <w:tabs>
          <w:tab w:val="num" w:pos="1037"/>
        </w:tabs>
        <w:ind w:left="1037" w:hanging="360"/>
      </w:pPr>
      <w:rPr>
        <w:rFonts w:cs="Times New Roman" w:hint="default"/>
        <w:i/>
      </w:rPr>
    </w:lvl>
    <w:lvl w:ilvl="1">
      <w:start w:val="1"/>
      <w:numFmt w:val="lowerLetter"/>
      <w:lvlText w:val="%2."/>
      <w:lvlJc w:val="left"/>
      <w:pPr>
        <w:tabs>
          <w:tab w:val="num" w:pos="1757"/>
        </w:tabs>
        <w:ind w:left="1757" w:hanging="360"/>
      </w:pPr>
      <w:rPr>
        <w:rFonts w:cs="Times New Roman"/>
      </w:rPr>
    </w:lvl>
    <w:lvl w:ilvl="2">
      <w:start w:val="1"/>
      <w:numFmt w:val="lowerRoman"/>
      <w:lvlText w:val="%3."/>
      <w:lvlJc w:val="right"/>
      <w:pPr>
        <w:tabs>
          <w:tab w:val="num" w:pos="2477"/>
        </w:tabs>
        <w:ind w:left="2477" w:hanging="180"/>
      </w:pPr>
      <w:rPr>
        <w:rFonts w:cs="Times New Roman"/>
      </w:rPr>
    </w:lvl>
    <w:lvl w:ilvl="3">
      <w:start w:val="1"/>
      <w:numFmt w:val="decimal"/>
      <w:lvlText w:val="%4."/>
      <w:lvlJc w:val="left"/>
      <w:pPr>
        <w:tabs>
          <w:tab w:val="num" w:pos="3197"/>
        </w:tabs>
        <w:ind w:left="3197" w:hanging="360"/>
      </w:pPr>
      <w:rPr>
        <w:rFonts w:cs="Times New Roman"/>
      </w:rPr>
    </w:lvl>
    <w:lvl w:ilvl="4">
      <w:start w:val="1"/>
      <w:numFmt w:val="lowerLetter"/>
      <w:lvlText w:val="%5."/>
      <w:lvlJc w:val="left"/>
      <w:pPr>
        <w:tabs>
          <w:tab w:val="num" w:pos="3917"/>
        </w:tabs>
        <w:ind w:left="3917" w:hanging="360"/>
      </w:pPr>
      <w:rPr>
        <w:rFonts w:cs="Times New Roman"/>
      </w:rPr>
    </w:lvl>
    <w:lvl w:ilvl="5">
      <w:start w:val="1"/>
      <w:numFmt w:val="lowerRoman"/>
      <w:lvlText w:val="%6."/>
      <w:lvlJc w:val="right"/>
      <w:pPr>
        <w:tabs>
          <w:tab w:val="num" w:pos="4637"/>
        </w:tabs>
        <w:ind w:left="4637" w:hanging="180"/>
      </w:pPr>
      <w:rPr>
        <w:rFonts w:cs="Times New Roman"/>
      </w:rPr>
    </w:lvl>
    <w:lvl w:ilvl="6">
      <w:start w:val="1"/>
      <w:numFmt w:val="decimal"/>
      <w:lvlText w:val="%7."/>
      <w:lvlJc w:val="left"/>
      <w:pPr>
        <w:tabs>
          <w:tab w:val="num" w:pos="5357"/>
        </w:tabs>
        <w:ind w:left="5357" w:hanging="360"/>
      </w:pPr>
      <w:rPr>
        <w:rFonts w:cs="Times New Roman"/>
      </w:rPr>
    </w:lvl>
    <w:lvl w:ilvl="7">
      <w:start w:val="1"/>
      <w:numFmt w:val="lowerLetter"/>
      <w:lvlText w:val="%8."/>
      <w:lvlJc w:val="left"/>
      <w:pPr>
        <w:tabs>
          <w:tab w:val="num" w:pos="6077"/>
        </w:tabs>
        <w:ind w:left="6077" w:hanging="360"/>
      </w:pPr>
      <w:rPr>
        <w:rFonts w:cs="Times New Roman"/>
      </w:rPr>
    </w:lvl>
    <w:lvl w:ilvl="8">
      <w:start w:val="1"/>
      <w:numFmt w:val="lowerRoman"/>
      <w:lvlText w:val="%9."/>
      <w:lvlJc w:val="right"/>
      <w:pPr>
        <w:tabs>
          <w:tab w:val="num" w:pos="6797"/>
        </w:tabs>
        <w:ind w:left="6797" w:hanging="180"/>
      </w:pPr>
      <w:rPr>
        <w:rFonts w:cs="Times New Roman"/>
      </w:rPr>
    </w:lvl>
  </w:abstractNum>
  <w:abstractNum w:abstractNumId="47" w15:restartNumberingAfterBreak="0">
    <w:nsid w:val="79C42F7C"/>
    <w:multiLevelType w:val="hybridMultilevel"/>
    <w:tmpl w:val="BBCCF9AA"/>
    <w:lvl w:ilvl="0" w:tplc="0D8E5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19763F"/>
    <w:multiLevelType w:val="hybridMultilevel"/>
    <w:tmpl w:val="494E9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8"/>
  </w:num>
  <w:num w:numId="5">
    <w:abstractNumId w:val="17"/>
  </w:num>
  <w:num w:numId="6">
    <w:abstractNumId w:val="40"/>
  </w:num>
  <w:num w:numId="7">
    <w:abstractNumId w:val="14"/>
  </w:num>
  <w:num w:numId="8">
    <w:abstractNumId w:val="9"/>
  </w:num>
  <w:num w:numId="9">
    <w:abstractNumId w:val="35"/>
  </w:num>
  <w:num w:numId="10">
    <w:abstractNumId w:val="20"/>
  </w:num>
  <w:num w:numId="11">
    <w:abstractNumId w:val="2"/>
  </w:num>
  <w:num w:numId="12">
    <w:abstractNumId w:val="1"/>
  </w:num>
  <w:num w:numId="13">
    <w:abstractNumId w:val="15"/>
  </w:num>
  <w:num w:numId="14">
    <w:abstractNumId w:val="10"/>
  </w:num>
  <w:num w:numId="15">
    <w:abstractNumId w:val="33"/>
  </w:num>
  <w:num w:numId="16">
    <w:abstractNumId w:val="44"/>
  </w:num>
  <w:num w:numId="17">
    <w:abstractNumId w:val="46"/>
  </w:num>
  <w:num w:numId="18">
    <w:abstractNumId w:val="19"/>
  </w:num>
  <w:num w:numId="19">
    <w:abstractNumId w:val="5"/>
  </w:num>
  <w:num w:numId="20">
    <w:abstractNumId w:val="42"/>
  </w:num>
  <w:num w:numId="21">
    <w:abstractNumId w:val="32"/>
  </w:num>
  <w:num w:numId="22">
    <w:abstractNumId w:val="29"/>
  </w:num>
  <w:num w:numId="23">
    <w:abstractNumId w:val="45"/>
  </w:num>
  <w:num w:numId="24">
    <w:abstractNumId w:val="11"/>
  </w:num>
  <w:num w:numId="25">
    <w:abstractNumId w:val="34"/>
  </w:num>
  <w:num w:numId="26">
    <w:abstractNumId w:val="36"/>
  </w:num>
  <w:num w:numId="27">
    <w:abstractNumId w:val="48"/>
  </w:num>
  <w:num w:numId="28">
    <w:abstractNumId w:val="22"/>
  </w:num>
  <w:num w:numId="29">
    <w:abstractNumId w:val="43"/>
  </w:num>
  <w:num w:numId="30">
    <w:abstractNumId w:val="0"/>
  </w:num>
  <w:num w:numId="31">
    <w:abstractNumId w:val="27"/>
  </w:num>
  <w:num w:numId="32">
    <w:abstractNumId w:val="7"/>
  </w:num>
  <w:num w:numId="33">
    <w:abstractNumId w:val="30"/>
  </w:num>
  <w:num w:numId="34">
    <w:abstractNumId w:val="8"/>
  </w:num>
  <w:num w:numId="35">
    <w:abstractNumId w:val="6"/>
  </w:num>
  <w:num w:numId="36">
    <w:abstractNumId w:val="23"/>
  </w:num>
  <w:num w:numId="37">
    <w:abstractNumId w:val="13"/>
  </w:num>
  <w:num w:numId="38">
    <w:abstractNumId w:val="3"/>
  </w:num>
  <w:num w:numId="39">
    <w:abstractNumId w:val="21"/>
  </w:num>
  <w:num w:numId="40">
    <w:abstractNumId w:val="16"/>
  </w:num>
  <w:num w:numId="41">
    <w:abstractNumId w:val="39"/>
  </w:num>
  <w:num w:numId="42">
    <w:abstractNumId w:val="4"/>
  </w:num>
  <w:num w:numId="43">
    <w:abstractNumId w:val="24"/>
  </w:num>
  <w:num w:numId="44">
    <w:abstractNumId w:val="47"/>
  </w:num>
  <w:num w:numId="45">
    <w:abstractNumId w:val="26"/>
  </w:num>
  <w:num w:numId="46">
    <w:abstractNumId w:val="25"/>
  </w:num>
  <w:num w:numId="47">
    <w:abstractNumId w:val="41"/>
  </w:num>
  <w:num w:numId="48">
    <w:abstractNumId w:val="37"/>
  </w:num>
  <w:num w:numId="49">
    <w:abstractNumId w:val="38"/>
  </w:num>
  <w:num w:numId="5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mirrorMargin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284"/>
  <w:defaultTableStyle w:val="TableGrid"/>
  <w:evenAndOddHeaders/>
  <w:drawingGridHorizontalSpacing w:val="110"/>
  <w:drawingGridVerticalSpacing w:val="381"/>
  <w:displayHorizontalDrawingGridEvery w:val="0"/>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B2"/>
    <w:rsid w:val="0000284D"/>
    <w:rsid w:val="000029F7"/>
    <w:rsid w:val="00003351"/>
    <w:rsid w:val="00004736"/>
    <w:rsid w:val="00006D69"/>
    <w:rsid w:val="0001000C"/>
    <w:rsid w:val="00010B1E"/>
    <w:rsid w:val="00014557"/>
    <w:rsid w:val="00014801"/>
    <w:rsid w:val="00016D8C"/>
    <w:rsid w:val="00020A45"/>
    <w:rsid w:val="000218E7"/>
    <w:rsid w:val="0002324C"/>
    <w:rsid w:val="000240A9"/>
    <w:rsid w:val="000245E3"/>
    <w:rsid w:val="00027BEC"/>
    <w:rsid w:val="00034784"/>
    <w:rsid w:val="00034D6F"/>
    <w:rsid w:val="00035B6A"/>
    <w:rsid w:val="0003625A"/>
    <w:rsid w:val="00037E28"/>
    <w:rsid w:val="000414B9"/>
    <w:rsid w:val="000417A9"/>
    <w:rsid w:val="0004621E"/>
    <w:rsid w:val="00046363"/>
    <w:rsid w:val="000476CB"/>
    <w:rsid w:val="000526A6"/>
    <w:rsid w:val="0005352A"/>
    <w:rsid w:val="00054279"/>
    <w:rsid w:val="00054AC5"/>
    <w:rsid w:val="000562F4"/>
    <w:rsid w:val="00056DA5"/>
    <w:rsid w:val="00060989"/>
    <w:rsid w:val="00064623"/>
    <w:rsid w:val="00066EA0"/>
    <w:rsid w:val="0006703E"/>
    <w:rsid w:val="00071182"/>
    <w:rsid w:val="00071CFB"/>
    <w:rsid w:val="00072EE9"/>
    <w:rsid w:val="00080DFE"/>
    <w:rsid w:val="00081A0E"/>
    <w:rsid w:val="0008281F"/>
    <w:rsid w:val="00083590"/>
    <w:rsid w:val="000847A4"/>
    <w:rsid w:val="00090230"/>
    <w:rsid w:val="0009275C"/>
    <w:rsid w:val="00097681"/>
    <w:rsid w:val="000A139C"/>
    <w:rsid w:val="000A1C28"/>
    <w:rsid w:val="000A29FC"/>
    <w:rsid w:val="000A3AF9"/>
    <w:rsid w:val="000A415F"/>
    <w:rsid w:val="000A6D9E"/>
    <w:rsid w:val="000A7ACE"/>
    <w:rsid w:val="000B6166"/>
    <w:rsid w:val="000B671E"/>
    <w:rsid w:val="000B6BBA"/>
    <w:rsid w:val="000B72B3"/>
    <w:rsid w:val="000C0109"/>
    <w:rsid w:val="000C1B38"/>
    <w:rsid w:val="000C5725"/>
    <w:rsid w:val="000C7DB5"/>
    <w:rsid w:val="000D0C2A"/>
    <w:rsid w:val="000D25E4"/>
    <w:rsid w:val="000D4450"/>
    <w:rsid w:val="000D4DBD"/>
    <w:rsid w:val="000E0DC2"/>
    <w:rsid w:val="000E3529"/>
    <w:rsid w:val="000E443B"/>
    <w:rsid w:val="000E4587"/>
    <w:rsid w:val="000E4E5F"/>
    <w:rsid w:val="000F469F"/>
    <w:rsid w:val="000F7B77"/>
    <w:rsid w:val="0010263D"/>
    <w:rsid w:val="001066BD"/>
    <w:rsid w:val="00107A87"/>
    <w:rsid w:val="00110C2F"/>
    <w:rsid w:val="00112D39"/>
    <w:rsid w:val="00113608"/>
    <w:rsid w:val="001144EA"/>
    <w:rsid w:val="0011467B"/>
    <w:rsid w:val="00117CB0"/>
    <w:rsid w:val="001209E8"/>
    <w:rsid w:val="001210C1"/>
    <w:rsid w:val="00121143"/>
    <w:rsid w:val="00122063"/>
    <w:rsid w:val="00125C9E"/>
    <w:rsid w:val="001277D7"/>
    <w:rsid w:val="00127C7C"/>
    <w:rsid w:val="00133F6B"/>
    <w:rsid w:val="00135567"/>
    <w:rsid w:val="001364AE"/>
    <w:rsid w:val="001408A7"/>
    <w:rsid w:val="00141963"/>
    <w:rsid w:val="00141A82"/>
    <w:rsid w:val="001444BF"/>
    <w:rsid w:val="0014633C"/>
    <w:rsid w:val="00146718"/>
    <w:rsid w:val="00146DC0"/>
    <w:rsid w:val="00147CC5"/>
    <w:rsid w:val="001506E6"/>
    <w:rsid w:val="0015632D"/>
    <w:rsid w:val="00165E83"/>
    <w:rsid w:val="00166DF1"/>
    <w:rsid w:val="00167A59"/>
    <w:rsid w:val="00170F6E"/>
    <w:rsid w:val="00173F8B"/>
    <w:rsid w:val="001755F4"/>
    <w:rsid w:val="00175BC1"/>
    <w:rsid w:val="00177427"/>
    <w:rsid w:val="00180787"/>
    <w:rsid w:val="00182201"/>
    <w:rsid w:val="00183E3D"/>
    <w:rsid w:val="001855A6"/>
    <w:rsid w:val="00187B4F"/>
    <w:rsid w:val="00187C21"/>
    <w:rsid w:val="00191484"/>
    <w:rsid w:val="0019186F"/>
    <w:rsid w:val="00194A39"/>
    <w:rsid w:val="00195B27"/>
    <w:rsid w:val="00197A38"/>
    <w:rsid w:val="001A0413"/>
    <w:rsid w:val="001A205A"/>
    <w:rsid w:val="001A2A1D"/>
    <w:rsid w:val="001A34E7"/>
    <w:rsid w:val="001A3843"/>
    <w:rsid w:val="001A3B6A"/>
    <w:rsid w:val="001A7A99"/>
    <w:rsid w:val="001B1A07"/>
    <w:rsid w:val="001B236C"/>
    <w:rsid w:val="001B2720"/>
    <w:rsid w:val="001B47EA"/>
    <w:rsid w:val="001B4915"/>
    <w:rsid w:val="001B5B0A"/>
    <w:rsid w:val="001C062B"/>
    <w:rsid w:val="001C4491"/>
    <w:rsid w:val="001C4BBA"/>
    <w:rsid w:val="001C4DFF"/>
    <w:rsid w:val="001D104D"/>
    <w:rsid w:val="001D1D00"/>
    <w:rsid w:val="001D3CFB"/>
    <w:rsid w:val="001D5360"/>
    <w:rsid w:val="001D777E"/>
    <w:rsid w:val="001E03A4"/>
    <w:rsid w:val="001E0755"/>
    <w:rsid w:val="001E0C81"/>
    <w:rsid w:val="001E42EE"/>
    <w:rsid w:val="001E59EC"/>
    <w:rsid w:val="001F01AF"/>
    <w:rsid w:val="001F0466"/>
    <w:rsid w:val="001F249E"/>
    <w:rsid w:val="001F334C"/>
    <w:rsid w:val="001F388B"/>
    <w:rsid w:val="001F3BB1"/>
    <w:rsid w:val="001F6FDC"/>
    <w:rsid w:val="001F7620"/>
    <w:rsid w:val="00201075"/>
    <w:rsid w:val="00201344"/>
    <w:rsid w:val="0020354C"/>
    <w:rsid w:val="00204720"/>
    <w:rsid w:val="00206745"/>
    <w:rsid w:val="00207502"/>
    <w:rsid w:val="0021188C"/>
    <w:rsid w:val="0021250F"/>
    <w:rsid w:val="00212605"/>
    <w:rsid w:val="00212A16"/>
    <w:rsid w:val="002154C1"/>
    <w:rsid w:val="002154FD"/>
    <w:rsid w:val="0021565E"/>
    <w:rsid w:val="00216021"/>
    <w:rsid w:val="00216392"/>
    <w:rsid w:val="00216752"/>
    <w:rsid w:val="002174AF"/>
    <w:rsid w:val="0022019A"/>
    <w:rsid w:val="00220475"/>
    <w:rsid w:val="002217AE"/>
    <w:rsid w:val="00221B82"/>
    <w:rsid w:val="002221D6"/>
    <w:rsid w:val="00223F3A"/>
    <w:rsid w:val="00225DD9"/>
    <w:rsid w:val="002370CE"/>
    <w:rsid w:val="00237655"/>
    <w:rsid w:val="0024197B"/>
    <w:rsid w:val="00245E81"/>
    <w:rsid w:val="002479EC"/>
    <w:rsid w:val="0025020D"/>
    <w:rsid w:val="00262171"/>
    <w:rsid w:val="00262BBE"/>
    <w:rsid w:val="00263827"/>
    <w:rsid w:val="0026465C"/>
    <w:rsid w:val="00265954"/>
    <w:rsid w:val="0026600D"/>
    <w:rsid w:val="00271047"/>
    <w:rsid w:val="00271E22"/>
    <w:rsid w:val="00272FC8"/>
    <w:rsid w:val="0027352B"/>
    <w:rsid w:val="0027406F"/>
    <w:rsid w:val="002765C0"/>
    <w:rsid w:val="00277D3A"/>
    <w:rsid w:val="00282AAE"/>
    <w:rsid w:val="00285F23"/>
    <w:rsid w:val="00292963"/>
    <w:rsid w:val="002957A7"/>
    <w:rsid w:val="0029658F"/>
    <w:rsid w:val="00296C21"/>
    <w:rsid w:val="002A06ED"/>
    <w:rsid w:val="002A15D5"/>
    <w:rsid w:val="002A21D0"/>
    <w:rsid w:val="002A39E6"/>
    <w:rsid w:val="002A3C81"/>
    <w:rsid w:val="002A6752"/>
    <w:rsid w:val="002A695F"/>
    <w:rsid w:val="002B085F"/>
    <w:rsid w:val="002B09F4"/>
    <w:rsid w:val="002B315F"/>
    <w:rsid w:val="002B3917"/>
    <w:rsid w:val="002B74BD"/>
    <w:rsid w:val="002B7D05"/>
    <w:rsid w:val="002C046F"/>
    <w:rsid w:val="002C25C7"/>
    <w:rsid w:val="002C2982"/>
    <w:rsid w:val="002C536B"/>
    <w:rsid w:val="002C58EF"/>
    <w:rsid w:val="002C6CC8"/>
    <w:rsid w:val="002C7569"/>
    <w:rsid w:val="002D0F78"/>
    <w:rsid w:val="002D1EFB"/>
    <w:rsid w:val="002D26E5"/>
    <w:rsid w:val="002D2B3C"/>
    <w:rsid w:val="002D3D2F"/>
    <w:rsid w:val="002D6E74"/>
    <w:rsid w:val="002E0633"/>
    <w:rsid w:val="002E1B8E"/>
    <w:rsid w:val="002E2C51"/>
    <w:rsid w:val="002E3235"/>
    <w:rsid w:val="002E5295"/>
    <w:rsid w:val="002E5301"/>
    <w:rsid w:val="002E56D2"/>
    <w:rsid w:val="002E667F"/>
    <w:rsid w:val="002F07A5"/>
    <w:rsid w:val="002F10B5"/>
    <w:rsid w:val="002F2651"/>
    <w:rsid w:val="002F61F5"/>
    <w:rsid w:val="002F6580"/>
    <w:rsid w:val="003027DE"/>
    <w:rsid w:val="00302F5F"/>
    <w:rsid w:val="0030375A"/>
    <w:rsid w:val="00305789"/>
    <w:rsid w:val="0030597B"/>
    <w:rsid w:val="00310BC6"/>
    <w:rsid w:val="00311447"/>
    <w:rsid w:val="00312B3D"/>
    <w:rsid w:val="00312ECD"/>
    <w:rsid w:val="00314233"/>
    <w:rsid w:val="00321F39"/>
    <w:rsid w:val="00326BFE"/>
    <w:rsid w:val="003303AF"/>
    <w:rsid w:val="00331088"/>
    <w:rsid w:val="0033499F"/>
    <w:rsid w:val="00342414"/>
    <w:rsid w:val="003475DE"/>
    <w:rsid w:val="0035286B"/>
    <w:rsid w:val="00354411"/>
    <w:rsid w:val="00354ACB"/>
    <w:rsid w:val="00355152"/>
    <w:rsid w:val="00363A09"/>
    <w:rsid w:val="00363C40"/>
    <w:rsid w:val="00365568"/>
    <w:rsid w:val="00365EE4"/>
    <w:rsid w:val="00366E3A"/>
    <w:rsid w:val="00370BA1"/>
    <w:rsid w:val="0037108E"/>
    <w:rsid w:val="003723E7"/>
    <w:rsid w:val="0037290C"/>
    <w:rsid w:val="00373662"/>
    <w:rsid w:val="00374539"/>
    <w:rsid w:val="00375BE2"/>
    <w:rsid w:val="00380C0E"/>
    <w:rsid w:val="00381987"/>
    <w:rsid w:val="0038263E"/>
    <w:rsid w:val="003829C6"/>
    <w:rsid w:val="00384F06"/>
    <w:rsid w:val="003857F9"/>
    <w:rsid w:val="003857FF"/>
    <w:rsid w:val="00386E84"/>
    <w:rsid w:val="003934B2"/>
    <w:rsid w:val="00393EF6"/>
    <w:rsid w:val="0039424B"/>
    <w:rsid w:val="00397C1C"/>
    <w:rsid w:val="003A2412"/>
    <w:rsid w:val="003A4A42"/>
    <w:rsid w:val="003A4C0C"/>
    <w:rsid w:val="003A583B"/>
    <w:rsid w:val="003A6380"/>
    <w:rsid w:val="003B2EFE"/>
    <w:rsid w:val="003B3545"/>
    <w:rsid w:val="003B5643"/>
    <w:rsid w:val="003C0A33"/>
    <w:rsid w:val="003C170D"/>
    <w:rsid w:val="003C3BB7"/>
    <w:rsid w:val="003C3F39"/>
    <w:rsid w:val="003C4D13"/>
    <w:rsid w:val="003C6069"/>
    <w:rsid w:val="003D2DC6"/>
    <w:rsid w:val="003D4204"/>
    <w:rsid w:val="003D43D7"/>
    <w:rsid w:val="003D684D"/>
    <w:rsid w:val="003E2342"/>
    <w:rsid w:val="003E2D0D"/>
    <w:rsid w:val="003E3543"/>
    <w:rsid w:val="003E6418"/>
    <w:rsid w:val="003E6D0D"/>
    <w:rsid w:val="003E7AED"/>
    <w:rsid w:val="003F2C02"/>
    <w:rsid w:val="003F4592"/>
    <w:rsid w:val="003F5354"/>
    <w:rsid w:val="003F60E8"/>
    <w:rsid w:val="003F706A"/>
    <w:rsid w:val="004001E7"/>
    <w:rsid w:val="0040729C"/>
    <w:rsid w:val="00410B04"/>
    <w:rsid w:val="0041257F"/>
    <w:rsid w:val="00420ED0"/>
    <w:rsid w:val="00420EE2"/>
    <w:rsid w:val="0042120B"/>
    <w:rsid w:val="004219C5"/>
    <w:rsid w:val="00423111"/>
    <w:rsid w:val="00432979"/>
    <w:rsid w:val="00432C30"/>
    <w:rsid w:val="004345BD"/>
    <w:rsid w:val="00436AFB"/>
    <w:rsid w:val="00437B69"/>
    <w:rsid w:val="0044095C"/>
    <w:rsid w:val="00441084"/>
    <w:rsid w:val="0044130A"/>
    <w:rsid w:val="00444145"/>
    <w:rsid w:val="004449ED"/>
    <w:rsid w:val="004459CB"/>
    <w:rsid w:val="004461BC"/>
    <w:rsid w:val="0045111A"/>
    <w:rsid w:val="00452BF4"/>
    <w:rsid w:val="00462457"/>
    <w:rsid w:val="00463F00"/>
    <w:rsid w:val="00464F46"/>
    <w:rsid w:val="00464F84"/>
    <w:rsid w:val="00470F1D"/>
    <w:rsid w:val="00471927"/>
    <w:rsid w:val="00475C20"/>
    <w:rsid w:val="00476D48"/>
    <w:rsid w:val="00477461"/>
    <w:rsid w:val="004821BB"/>
    <w:rsid w:val="0048551D"/>
    <w:rsid w:val="00486775"/>
    <w:rsid w:val="00491FE4"/>
    <w:rsid w:val="00494919"/>
    <w:rsid w:val="00496805"/>
    <w:rsid w:val="00497521"/>
    <w:rsid w:val="004A1A41"/>
    <w:rsid w:val="004A2BE5"/>
    <w:rsid w:val="004A6700"/>
    <w:rsid w:val="004A701A"/>
    <w:rsid w:val="004B1F60"/>
    <w:rsid w:val="004B2266"/>
    <w:rsid w:val="004B27FA"/>
    <w:rsid w:val="004B54C2"/>
    <w:rsid w:val="004B67C2"/>
    <w:rsid w:val="004C4655"/>
    <w:rsid w:val="004C6B6B"/>
    <w:rsid w:val="004C6E17"/>
    <w:rsid w:val="004C7EA2"/>
    <w:rsid w:val="004D37A4"/>
    <w:rsid w:val="004D44D2"/>
    <w:rsid w:val="004D45DD"/>
    <w:rsid w:val="004E0364"/>
    <w:rsid w:val="004E061B"/>
    <w:rsid w:val="004E488F"/>
    <w:rsid w:val="004E6836"/>
    <w:rsid w:val="004F07C3"/>
    <w:rsid w:val="004F1310"/>
    <w:rsid w:val="004F25D5"/>
    <w:rsid w:val="004F5145"/>
    <w:rsid w:val="004F5F64"/>
    <w:rsid w:val="004F6A1F"/>
    <w:rsid w:val="004F7680"/>
    <w:rsid w:val="00500864"/>
    <w:rsid w:val="00503FAB"/>
    <w:rsid w:val="00504126"/>
    <w:rsid w:val="00505FA7"/>
    <w:rsid w:val="00510A88"/>
    <w:rsid w:val="00511249"/>
    <w:rsid w:val="00513340"/>
    <w:rsid w:val="00517D7A"/>
    <w:rsid w:val="00520772"/>
    <w:rsid w:val="005216EE"/>
    <w:rsid w:val="0052202B"/>
    <w:rsid w:val="00524318"/>
    <w:rsid w:val="00524414"/>
    <w:rsid w:val="005251E5"/>
    <w:rsid w:val="0052722A"/>
    <w:rsid w:val="00531929"/>
    <w:rsid w:val="00532A6F"/>
    <w:rsid w:val="00534068"/>
    <w:rsid w:val="00534643"/>
    <w:rsid w:val="00534683"/>
    <w:rsid w:val="00534989"/>
    <w:rsid w:val="00534B86"/>
    <w:rsid w:val="005366A9"/>
    <w:rsid w:val="00536EA1"/>
    <w:rsid w:val="005447FC"/>
    <w:rsid w:val="00544AF0"/>
    <w:rsid w:val="0054520A"/>
    <w:rsid w:val="005463EC"/>
    <w:rsid w:val="00546915"/>
    <w:rsid w:val="00551B5F"/>
    <w:rsid w:val="00552898"/>
    <w:rsid w:val="00557502"/>
    <w:rsid w:val="00561526"/>
    <w:rsid w:val="00561E9C"/>
    <w:rsid w:val="00564E85"/>
    <w:rsid w:val="00566719"/>
    <w:rsid w:val="005670B3"/>
    <w:rsid w:val="005700AB"/>
    <w:rsid w:val="005718A5"/>
    <w:rsid w:val="00572678"/>
    <w:rsid w:val="0057352B"/>
    <w:rsid w:val="00573541"/>
    <w:rsid w:val="00573E60"/>
    <w:rsid w:val="005763B2"/>
    <w:rsid w:val="00577689"/>
    <w:rsid w:val="005832C8"/>
    <w:rsid w:val="005849B5"/>
    <w:rsid w:val="00587D8F"/>
    <w:rsid w:val="00590CBC"/>
    <w:rsid w:val="0059286F"/>
    <w:rsid w:val="00595230"/>
    <w:rsid w:val="00595C91"/>
    <w:rsid w:val="005A25D5"/>
    <w:rsid w:val="005A2699"/>
    <w:rsid w:val="005A50E6"/>
    <w:rsid w:val="005A5F72"/>
    <w:rsid w:val="005A69A9"/>
    <w:rsid w:val="005A7227"/>
    <w:rsid w:val="005B36F3"/>
    <w:rsid w:val="005B3ACF"/>
    <w:rsid w:val="005B5E70"/>
    <w:rsid w:val="005B7D15"/>
    <w:rsid w:val="005C4AE5"/>
    <w:rsid w:val="005C65CB"/>
    <w:rsid w:val="005C759B"/>
    <w:rsid w:val="005D0EAE"/>
    <w:rsid w:val="005D4397"/>
    <w:rsid w:val="005D47E3"/>
    <w:rsid w:val="005D6BF3"/>
    <w:rsid w:val="005D7FC6"/>
    <w:rsid w:val="005E01FF"/>
    <w:rsid w:val="005E5ACC"/>
    <w:rsid w:val="005E6651"/>
    <w:rsid w:val="005F1D3E"/>
    <w:rsid w:val="005F40E9"/>
    <w:rsid w:val="005F6C18"/>
    <w:rsid w:val="005F722D"/>
    <w:rsid w:val="00603316"/>
    <w:rsid w:val="006061F0"/>
    <w:rsid w:val="00606F15"/>
    <w:rsid w:val="00612C69"/>
    <w:rsid w:val="006144F7"/>
    <w:rsid w:val="0061590C"/>
    <w:rsid w:val="00616196"/>
    <w:rsid w:val="00616E8A"/>
    <w:rsid w:val="00617E71"/>
    <w:rsid w:val="00620F19"/>
    <w:rsid w:val="006250F0"/>
    <w:rsid w:val="00625ADA"/>
    <w:rsid w:val="00631A10"/>
    <w:rsid w:val="00636097"/>
    <w:rsid w:val="00640AB7"/>
    <w:rsid w:val="00642381"/>
    <w:rsid w:val="00642684"/>
    <w:rsid w:val="0064357B"/>
    <w:rsid w:val="00645E33"/>
    <w:rsid w:val="00651BAB"/>
    <w:rsid w:val="00653C7B"/>
    <w:rsid w:val="0065618C"/>
    <w:rsid w:val="00656878"/>
    <w:rsid w:val="00657100"/>
    <w:rsid w:val="00660AA7"/>
    <w:rsid w:val="00661101"/>
    <w:rsid w:val="00663DDE"/>
    <w:rsid w:val="00664213"/>
    <w:rsid w:val="006644C9"/>
    <w:rsid w:val="00664783"/>
    <w:rsid w:val="00672EBC"/>
    <w:rsid w:val="00672FBE"/>
    <w:rsid w:val="00673F03"/>
    <w:rsid w:val="006746FC"/>
    <w:rsid w:val="00674CBA"/>
    <w:rsid w:val="00680995"/>
    <w:rsid w:val="00681BB3"/>
    <w:rsid w:val="00681F90"/>
    <w:rsid w:val="0068290F"/>
    <w:rsid w:val="00687CEC"/>
    <w:rsid w:val="006928B5"/>
    <w:rsid w:val="00692B63"/>
    <w:rsid w:val="00693EFC"/>
    <w:rsid w:val="006943F3"/>
    <w:rsid w:val="0069703A"/>
    <w:rsid w:val="006A0913"/>
    <w:rsid w:val="006A2211"/>
    <w:rsid w:val="006A6EF3"/>
    <w:rsid w:val="006A70CB"/>
    <w:rsid w:val="006C1728"/>
    <w:rsid w:val="006C2455"/>
    <w:rsid w:val="006C3095"/>
    <w:rsid w:val="006C3A5F"/>
    <w:rsid w:val="006D2BCF"/>
    <w:rsid w:val="006D302B"/>
    <w:rsid w:val="006E04CD"/>
    <w:rsid w:val="006E0EC5"/>
    <w:rsid w:val="006E0F50"/>
    <w:rsid w:val="006E155F"/>
    <w:rsid w:val="006E2209"/>
    <w:rsid w:val="006E2CBF"/>
    <w:rsid w:val="006E4210"/>
    <w:rsid w:val="006F1BE6"/>
    <w:rsid w:val="006F43CD"/>
    <w:rsid w:val="006F701E"/>
    <w:rsid w:val="006F75D4"/>
    <w:rsid w:val="00700225"/>
    <w:rsid w:val="007008BD"/>
    <w:rsid w:val="00701EDB"/>
    <w:rsid w:val="00702BB2"/>
    <w:rsid w:val="00704DC1"/>
    <w:rsid w:val="0070652D"/>
    <w:rsid w:val="00706CED"/>
    <w:rsid w:val="007120A2"/>
    <w:rsid w:val="00712150"/>
    <w:rsid w:val="00712C7C"/>
    <w:rsid w:val="00713910"/>
    <w:rsid w:val="00713F17"/>
    <w:rsid w:val="0071480D"/>
    <w:rsid w:val="007154F8"/>
    <w:rsid w:val="0071679E"/>
    <w:rsid w:val="00722CAA"/>
    <w:rsid w:val="007249D0"/>
    <w:rsid w:val="00726691"/>
    <w:rsid w:val="007302B0"/>
    <w:rsid w:val="00731C42"/>
    <w:rsid w:val="00733FBF"/>
    <w:rsid w:val="007348E4"/>
    <w:rsid w:val="007363CE"/>
    <w:rsid w:val="00736514"/>
    <w:rsid w:val="007412B2"/>
    <w:rsid w:val="00751D2C"/>
    <w:rsid w:val="0075277D"/>
    <w:rsid w:val="00752FF3"/>
    <w:rsid w:val="007554AE"/>
    <w:rsid w:val="00756D26"/>
    <w:rsid w:val="00760AD0"/>
    <w:rsid w:val="00760E9D"/>
    <w:rsid w:val="00761DC5"/>
    <w:rsid w:val="00762353"/>
    <w:rsid w:val="00762843"/>
    <w:rsid w:val="00762BCC"/>
    <w:rsid w:val="0076555C"/>
    <w:rsid w:val="0076600B"/>
    <w:rsid w:val="00771613"/>
    <w:rsid w:val="007726F1"/>
    <w:rsid w:val="007736DA"/>
    <w:rsid w:val="00774FA4"/>
    <w:rsid w:val="00791648"/>
    <w:rsid w:val="0079261D"/>
    <w:rsid w:val="00794865"/>
    <w:rsid w:val="007A3B65"/>
    <w:rsid w:val="007A4A11"/>
    <w:rsid w:val="007B085F"/>
    <w:rsid w:val="007B1873"/>
    <w:rsid w:val="007B3421"/>
    <w:rsid w:val="007C0C9E"/>
    <w:rsid w:val="007C2BAF"/>
    <w:rsid w:val="007C4341"/>
    <w:rsid w:val="007C45BD"/>
    <w:rsid w:val="007C475A"/>
    <w:rsid w:val="007C4CA8"/>
    <w:rsid w:val="007D0BEE"/>
    <w:rsid w:val="007D1909"/>
    <w:rsid w:val="007D4A42"/>
    <w:rsid w:val="007D75FC"/>
    <w:rsid w:val="007E68AD"/>
    <w:rsid w:val="007F0053"/>
    <w:rsid w:val="007F2F05"/>
    <w:rsid w:val="007F3460"/>
    <w:rsid w:val="007F3D83"/>
    <w:rsid w:val="007F4C0F"/>
    <w:rsid w:val="007F66E1"/>
    <w:rsid w:val="007F6833"/>
    <w:rsid w:val="007F7A08"/>
    <w:rsid w:val="007F7FD1"/>
    <w:rsid w:val="008041B5"/>
    <w:rsid w:val="00805651"/>
    <w:rsid w:val="00807D4F"/>
    <w:rsid w:val="0081170F"/>
    <w:rsid w:val="00812509"/>
    <w:rsid w:val="00815D58"/>
    <w:rsid w:val="008166ED"/>
    <w:rsid w:val="0082246E"/>
    <w:rsid w:val="008257A6"/>
    <w:rsid w:val="008274DA"/>
    <w:rsid w:val="008276F1"/>
    <w:rsid w:val="00827C14"/>
    <w:rsid w:val="00831B11"/>
    <w:rsid w:val="008323BB"/>
    <w:rsid w:val="00832468"/>
    <w:rsid w:val="00832EA3"/>
    <w:rsid w:val="008343C2"/>
    <w:rsid w:val="008360DE"/>
    <w:rsid w:val="008373BA"/>
    <w:rsid w:val="00843644"/>
    <w:rsid w:val="00843DF0"/>
    <w:rsid w:val="00845721"/>
    <w:rsid w:val="00847DA3"/>
    <w:rsid w:val="008506C1"/>
    <w:rsid w:val="00852DEA"/>
    <w:rsid w:val="008532C4"/>
    <w:rsid w:val="00855464"/>
    <w:rsid w:val="008573D8"/>
    <w:rsid w:val="00857ADE"/>
    <w:rsid w:val="00862702"/>
    <w:rsid w:val="0087082E"/>
    <w:rsid w:val="00873087"/>
    <w:rsid w:val="0087335F"/>
    <w:rsid w:val="00874C48"/>
    <w:rsid w:val="008759F4"/>
    <w:rsid w:val="00882F9F"/>
    <w:rsid w:val="00883B78"/>
    <w:rsid w:val="00883F2F"/>
    <w:rsid w:val="00887BCF"/>
    <w:rsid w:val="00890628"/>
    <w:rsid w:val="00890AE4"/>
    <w:rsid w:val="00890C52"/>
    <w:rsid w:val="0089121E"/>
    <w:rsid w:val="00891C93"/>
    <w:rsid w:val="008939C3"/>
    <w:rsid w:val="008966F7"/>
    <w:rsid w:val="008968C2"/>
    <w:rsid w:val="008A097C"/>
    <w:rsid w:val="008A1DF4"/>
    <w:rsid w:val="008A1EA9"/>
    <w:rsid w:val="008A54B2"/>
    <w:rsid w:val="008A5980"/>
    <w:rsid w:val="008A7A6F"/>
    <w:rsid w:val="008B13FD"/>
    <w:rsid w:val="008B7155"/>
    <w:rsid w:val="008C1BAF"/>
    <w:rsid w:val="008C215E"/>
    <w:rsid w:val="008C3D4B"/>
    <w:rsid w:val="008C4432"/>
    <w:rsid w:val="008C732A"/>
    <w:rsid w:val="008C7E2A"/>
    <w:rsid w:val="008D0870"/>
    <w:rsid w:val="008D0E36"/>
    <w:rsid w:val="008D22F6"/>
    <w:rsid w:val="008D33E0"/>
    <w:rsid w:val="008D3AF1"/>
    <w:rsid w:val="008D3D3B"/>
    <w:rsid w:val="008E00F9"/>
    <w:rsid w:val="008E0D5D"/>
    <w:rsid w:val="008E6430"/>
    <w:rsid w:val="009019A9"/>
    <w:rsid w:val="00902162"/>
    <w:rsid w:val="009033CB"/>
    <w:rsid w:val="00906EA5"/>
    <w:rsid w:val="00910346"/>
    <w:rsid w:val="00912AEE"/>
    <w:rsid w:val="00914C84"/>
    <w:rsid w:val="00916A5B"/>
    <w:rsid w:val="0092075B"/>
    <w:rsid w:val="00922C62"/>
    <w:rsid w:val="00925634"/>
    <w:rsid w:val="0092792C"/>
    <w:rsid w:val="00932EAB"/>
    <w:rsid w:val="00935BDE"/>
    <w:rsid w:val="009365A7"/>
    <w:rsid w:val="00937D2B"/>
    <w:rsid w:val="009435A2"/>
    <w:rsid w:val="009445DC"/>
    <w:rsid w:val="00947166"/>
    <w:rsid w:val="00950E7E"/>
    <w:rsid w:val="0095297E"/>
    <w:rsid w:val="009535F5"/>
    <w:rsid w:val="00953E79"/>
    <w:rsid w:val="009545D1"/>
    <w:rsid w:val="009546B4"/>
    <w:rsid w:val="00955A98"/>
    <w:rsid w:val="00956604"/>
    <w:rsid w:val="00956F33"/>
    <w:rsid w:val="00957C4E"/>
    <w:rsid w:val="009618B2"/>
    <w:rsid w:val="009621A2"/>
    <w:rsid w:val="00962795"/>
    <w:rsid w:val="009627E5"/>
    <w:rsid w:val="00963AFD"/>
    <w:rsid w:val="00964975"/>
    <w:rsid w:val="00966728"/>
    <w:rsid w:val="00967627"/>
    <w:rsid w:val="00972E35"/>
    <w:rsid w:val="00974147"/>
    <w:rsid w:val="00974812"/>
    <w:rsid w:val="0098186B"/>
    <w:rsid w:val="009818AE"/>
    <w:rsid w:val="00982E78"/>
    <w:rsid w:val="00983D92"/>
    <w:rsid w:val="00987A46"/>
    <w:rsid w:val="009A0820"/>
    <w:rsid w:val="009A12B0"/>
    <w:rsid w:val="009A2A84"/>
    <w:rsid w:val="009A7F60"/>
    <w:rsid w:val="009B39BB"/>
    <w:rsid w:val="009C1582"/>
    <w:rsid w:val="009C1E63"/>
    <w:rsid w:val="009C2C86"/>
    <w:rsid w:val="009C3AF4"/>
    <w:rsid w:val="009C643E"/>
    <w:rsid w:val="009C6441"/>
    <w:rsid w:val="009D2044"/>
    <w:rsid w:val="009D2CF4"/>
    <w:rsid w:val="009D2F08"/>
    <w:rsid w:val="009D4327"/>
    <w:rsid w:val="009D45C0"/>
    <w:rsid w:val="009E01BF"/>
    <w:rsid w:val="009E4FB0"/>
    <w:rsid w:val="009E5D24"/>
    <w:rsid w:val="009E76D6"/>
    <w:rsid w:val="009F1FE9"/>
    <w:rsid w:val="009F2B69"/>
    <w:rsid w:val="009F2FAE"/>
    <w:rsid w:val="009F4109"/>
    <w:rsid w:val="009F51DF"/>
    <w:rsid w:val="009F5399"/>
    <w:rsid w:val="00A00A78"/>
    <w:rsid w:val="00A01345"/>
    <w:rsid w:val="00A04119"/>
    <w:rsid w:val="00A04906"/>
    <w:rsid w:val="00A07BE0"/>
    <w:rsid w:val="00A20291"/>
    <w:rsid w:val="00A20B9C"/>
    <w:rsid w:val="00A258EE"/>
    <w:rsid w:val="00A317DF"/>
    <w:rsid w:val="00A326AA"/>
    <w:rsid w:val="00A34866"/>
    <w:rsid w:val="00A34949"/>
    <w:rsid w:val="00A34F06"/>
    <w:rsid w:val="00A3684A"/>
    <w:rsid w:val="00A40FAA"/>
    <w:rsid w:val="00A43293"/>
    <w:rsid w:val="00A43D4E"/>
    <w:rsid w:val="00A51339"/>
    <w:rsid w:val="00A52A18"/>
    <w:rsid w:val="00A54F7C"/>
    <w:rsid w:val="00A556D5"/>
    <w:rsid w:val="00A55EAA"/>
    <w:rsid w:val="00A56040"/>
    <w:rsid w:val="00A56ECA"/>
    <w:rsid w:val="00A64423"/>
    <w:rsid w:val="00A651D4"/>
    <w:rsid w:val="00A6554C"/>
    <w:rsid w:val="00A65BE7"/>
    <w:rsid w:val="00A70042"/>
    <w:rsid w:val="00A745BF"/>
    <w:rsid w:val="00A7612E"/>
    <w:rsid w:val="00A77A87"/>
    <w:rsid w:val="00A90811"/>
    <w:rsid w:val="00A90C96"/>
    <w:rsid w:val="00A9130A"/>
    <w:rsid w:val="00A9596C"/>
    <w:rsid w:val="00AA1C66"/>
    <w:rsid w:val="00AA22B2"/>
    <w:rsid w:val="00AA4A95"/>
    <w:rsid w:val="00AA6201"/>
    <w:rsid w:val="00AB4FBD"/>
    <w:rsid w:val="00AC2272"/>
    <w:rsid w:val="00AC3F76"/>
    <w:rsid w:val="00AC6056"/>
    <w:rsid w:val="00AC68AC"/>
    <w:rsid w:val="00AD3172"/>
    <w:rsid w:val="00AD7CF1"/>
    <w:rsid w:val="00AE583F"/>
    <w:rsid w:val="00AE60F2"/>
    <w:rsid w:val="00AF164A"/>
    <w:rsid w:val="00AF2C58"/>
    <w:rsid w:val="00AF558D"/>
    <w:rsid w:val="00B01D9A"/>
    <w:rsid w:val="00B02A40"/>
    <w:rsid w:val="00B02F2F"/>
    <w:rsid w:val="00B03CFD"/>
    <w:rsid w:val="00B06C9F"/>
    <w:rsid w:val="00B075A9"/>
    <w:rsid w:val="00B07999"/>
    <w:rsid w:val="00B17946"/>
    <w:rsid w:val="00B17D37"/>
    <w:rsid w:val="00B2351F"/>
    <w:rsid w:val="00B23F98"/>
    <w:rsid w:val="00B2459A"/>
    <w:rsid w:val="00B24A9F"/>
    <w:rsid w:val="00B30DEA"/>
    <w:rsid w:val="00B31425"/>
    <w:rsid w:val="00B31A1D"/>
    <w:rsid w:val="00B31FE0"/>
    <w:rsid w:val="00B344CB"/>
    <w:rsid w:val="00B37916"/>
    <w:rsid w:val="00B44275"/>
    <w:rsid w:val="00B458F1"/>
    <w:rsid w:val="00B50220"/>
    <w:rsid w:val="00B51E2A"/>
    <w:rsid w:val="00B53A7D"/>
    <w:rsid w:val="00B5655E"/>
    <w:rsid w:val="00B57EC9"/>
    <w:rsid w:val="00B6194D"/>
    <w:rsid w:val="00B61AA4"/>
    <w:rsid w:val="00B668AC"/>
    <w:rsid w:val="00B67C0E"/>
    <w:rsid w:val="00B67E2D"/>
    <w:rsid w:val="00B7127F"/>
    <w:rsid w:val="00B74791"/>
    <w:rsid w:val="00B76C2E"/>
    <w:rsid w:val="00B8198E"/>
    <w:rsid w:val="00B83CD3"/>
    <w:rsid w:val="00B85645"/>
    <w:rsid w:val="00B85F70"/>
    <w:rsid w:val="00B865B8"/>
    <w:rsid w:val="00B92899"/>
    <w:rsid w:val="00B938C1"/>
    <w:rsid w:val="00B94A69"/>
    <w:rsid w:val="00B95679"/>
    <w:rsid w:val="00B96582"/>
    <w:rsid w:val="00BA2767"/>
    <w:rsid w:val="00BA2AF4"/>
    <w:rsid w:val="00BA4426"/>
    <w:rsid w:val="00BA4605"/>
    <w:rsid w:val="00BA62AC"/>
    <w:rsid w:val="00BA6575"/>
    <w:rsid w:val="00BB1749"/>
    <w:rsid w:val="00BB26D3"/>
    <w:rsid w:val="00BB490F"/>
    <w:rsid w:val="00BB4CE3"/>
    <w:rsid w:val="00BB5A59"/>
    <w:rsid w:val="00BC0586"/>
    <w:rsid w:val="00BC0894"/>
    <w:rsid w:val="00BC51E7"/>
    <w:rsid w:val="00BC6E51"/>
    <w:rsid w:val="00BC73B6"/>
    <w:rsid w:val="00BD16D2"/>
    <w:rsid w:val="00BD2C3C"/>
    <w:rsid w:val="00BD3133"/>
    <w:rsid w:val="00BE0F27"/>
    <w:rsid w:val="00BE0F7E"/>
    <w:rsid w:val="00BE3826"/>
    <w:rsid w:val="00BE402D"/>
    <w:rsid w:val="00BE5887"/>
    <w:rsid w:val="00BE7A51"/>
    <w:rsid w:val="00BF1111"/>
    <w:rsid w:val="00BF17B8"/>
    <w:rsid w:val="00BF3AAD"/>
    <w:rsid w:val="00C01899"/>
    <w:rsid w:val="00C03B16"/>
    <w:rsid w:val="00C057B4"/>
    <w:rsid w:val="00C05E35"/>
    <w:rsid w:val="00C0642B"/>
    <w:rsid w:val="00C15207"/>
    <w:rsid w:val="00C16C56"/>
    <w:rsid w:val="00C23210"/>
    <w:rsid w:val="00C24F2A"/>
    <w:rsid w:val="00C2625E"/>
    <w:rsid w:val="00C328E5"/>
    <w:rsid w:val="00C33419"/>
    <w:rsid w:val="00C33661"/>
    <w:rsid w:val="00C36123"/>
    <w:rsid w:val="00C40E5D"/>
    <w:rsid w:val="00C41513"/>
    <w:rsid w:val="00C46DE9"/>
    <w:rsid w:val="00C5288B"/>
    <w:rsid w:val="00C56811"/>
    <w:rsid w:val="00C56877"/>
    <w:rsid w:val="00C61A63"/>
    <w:rsid w:val="00C62699"/>
    <w:rsid w:val="00C633F7"/>
    <w:rsid w:val="00C73F42"/>
    <w:rsid w:val="00C745DA"/>
    <w:rsid w:val="00C74D41"/>
    <w:rsid w:val="00C7516D"/>
    <w:rsid w:val="00C75202"/>
    <w:rsid w:val="00C85485"/>
    <w:rsid w:val="00C87005"/>
    <w:rsid w:val="00C90386"/>
    <w:rsid w:val="00C93FC3"/>
    <w:rsid w:val="00C9442C"/>
    <w:rsid w:val="00C950CC"/>
    <w:rsid w:val="00C95D8C"/>
    <w:rsid w:val="00CA140C"/>
    <w:rsid w:val="00CA52A0"/>
    <w:rsid w:val="00CA7CB8"/>
    <w:rsid w:val="00CB13F1"/>
    <w:rsid w:val="00CB2B34"/>
    <w:rsid w:val="00CB4CF1"/>
    <w:rsid w:val="00CB5FC5"/>
    <w:rsid w:val="00CC23A1"/>
    <w:rsid w:val="00CC4B03"/>
    <w:rsid w:val="00CC7475"/>
    <w:rsid w:val="00CC78CF"/>
    <w:rsid w:val="00CD4176"/>
    <w:rsid w:val="00CD5700"/>
    <w:rsid w:val="00CD74CE"/>
    <w:rsid w:val="00CD7C0E"/>
    <w:rsid w:val="00CE01E8"/>
    <w:rsid w:val="00CE346F"/>
    <w:rsid w:val="00CE7E2F"/>
    <w:rsid w:val="00CF0FA8"/>
    <w:rsid w:val="00CF4CA7"/>
    <w:rsid w:val="00CF5457"/>
    <w:rsid w:val="00CF6379"/>
    <w:rsid w:val="00CF7BDB"/>
    <w:rsid w:val="00D00087"/>
    <w:rsid w:val="00D0140E"/>
    <w:rsid w:val="00D019AF"/>
    <w:rsid w:val="00D0267B"/>
    <w:rsid w:val="00D05EA8"/>
    <w:rsid w:val="00D07752"/>
    <w:rsid w:val="00D101E1"/>
    <w:rsid w:val="00D10E6C"/>
    <w:rsid w:val="00D2127E"/>
    <w:rsid w:val="00D242AF"/>
    <w:rsid w:val="00D24514"/>
    <w:rsid w:val="00D2541E"/>
    <w:rsid w:val="00D26666"/>
    <w:rsid w:val="00D31A90"/>
    <w:rsid w:val="00D346A7"/>
    <w:rsid w:val="00D3518F"/>
    <w:rsid w:val="00D3667F"/>
    <w:rsid w:val="00D43723"/>
    <w:rsid w:val="00D43A1D"/>
    <w:rsid w:val="00D44BDE"/>
    <w:rsid w:val="00D45EDC"/>
    <w:rsid w:val="00D47DBC"/>
    <w:rsid w:val="00D50B0D"/>
    <w:rsid w:val="00D52BF7"/>
    <w:rsid w:val="00D52D32"/>
    <w:rsid w:val="00D538BE"/>
    <w:rsid w:val="00D54790"/>
    <w:rsid w:val="00D54C0B"/>
    <w:rsid w:val="00D54F8F"/>
    <w:rsid w:val="00D555F7"/>
    <w:rsid w:val="00D56862"/>
    <w:rsid w:val="00D56B91"/>
    <w:rsid w:val="00D579B9"/>
    <w:rsid w:val="00D61E6A"/>
    <w:rsid w:val="00D6742E"/>
    <w:rsid w:val="00D76A1E"/>
    <w:rsid w:val="00D77074"/>
    <w:rsid w:val="00D77720"/>
    <w:rsid w:val="00D8180D"/>
    <w:rsid w:val="00D83AED"/>
    <w:rsid w:val="00D83C35"/>
    <w:rsid w:val="00D842AF"/>
    <w:rsid w:val="00D8490B"/>
    <w:rsid w:val="00D87505"/>
    <w:rsid w:val="00D90263"/>
    <w:rsid w:val="00D9505C"/>
    <w:rsid w:val="00D962F5"/>
    <w:rsid w:val="00D9759C"/>
    <w:rsid w:val="00D9781A"/>
    <w:rsid w:val="00DA1391"/>
    <w:rsid w:val="00DA4619"/>
    <w:rsid w:val="00DA464B"/>
    <w:rsid w:val="00DA650B"/>
    <w:rsid w:val="00DA6BDA"/>
    <w:rsid w:val="00DA7876"/>
    <w:rsid w:val="00DB040C"/>
    <w:rsid w:val="00DB1047"/>
    <w:rsid w:val="00DB56E0"/>
    <w:rsid w:val="00DB60A4"/>
    <w:rsid w:val="00DB6978"/>
    <w:rsid w:val="00DC06F5"/>
    <w:rsid w:val="00DC25EE"/>
    <w:rsid w:val="00DC7113"/>
    <w:rsid w:val="00DC7945"/>
    <w:rsid w:val="00DD26BA"/>
    <w:rsid w:val="00DD2953"/>
    <w:rsid w:val="00DD3B94"/>
    <w:rsid w:val="00DD5125"/>
    <w:rsid w:val="00DD665D"/>
    <w:rsid w:val="00DD669C"/>
    <w:rsid w:val="00DE10E4"/>
    <w:rsid w:val="00DE2BE7"/>
    <w:rsid w:val="00DE3F87"/>
    <w:rsid w:val="00DE6A0C"/>
    <w:rsid w:val="00DE6C40"/>
    <w:rsid w:val="00DE7402"/>
    <w:rsid w:val="00DF110B"/>
    <w:rsid w:val="00DF50C4"/>
    <w:rsid w:val="00DF51A7"/>
    <w:rsid w:val="00DF529A"/>
    <w:rsid w:val="00DF67B0"/>
    <w:rsid w:val="00E00FEC"/>
    <w:rsid w:val="00E01D02"/>
    <w:rsid w:val="00E0337B"/>
    <w:rsid w:val="00E044E3"/>
    <w:rsid w:val="00E07FE5"/>
    <w:rsid w:val="00E110B3"/>
    <w:rsid w:val="00E14AE4"/>
    <w:rsid w:val="00E15B05"/>
    <w:rsid w:val="00E1795B"/>
    <w:rsid w:val="00E24A95"/>
    <w:rsid w:val="00E30DF7"/>
    <w:rsid w:val="00E33BED"/>
    <w:rsid w:val="00E34733"/>
    <w:rsid w:val="00E34D63"/>
    <w:rsid w:val="00E368BE"/>
    <w:rsid w:val="00E40F9E"/>
    <w:rsid w:val="00E42E38"/>
    <w:rsid w:val="00E44312"/>
    <w:rsid w:val="00E44E17"/>
    <w:rsid w:val="00E45BDD"/>
    <w:rsid w:val="00E553DB"/>
    <w:rsid w:val="00E55604"/>
    <w:rsid w:val="00E61A7E"/>
    <w:rsid w:val="00E631ED"/>
    <w:rsid w:val="00E67E13"/>
    <w:rsid w:val="00E7029C"/>
    <w:rsid w:val="00E709E6"/>
    <w:rsid w:val="00E71307"/>
    <w:rsid w:val="00E722CB"/>
    <w:rsid w:val="00E76CDA"/>
    <w:rsid w:val="00E77462"/>
    <w:rsid w:val="00E778F3"/>
    <w:rsid w:val="00E8156D"/>
    <w:rsid w:val="00E85034"/>
    <w:rsid w:val="00E865E3"/>
    <w:rsid w:val="00E8662E"/>
    <w:rsid w:val="00E87489"/>
    <w:rsid w:val="00E90665"/>
    <w:rsid w:val="00E90E96"/>
    <w:rsid w:val="00E90F03"/>
    <w:rsid w:val="00E915AE"/>
    <w:rsid w:val="00E9663A"/>
    <w:rsid w:val="00E96AE9"/>
    <w:rsid w:val="00EA1846"/>
    <w:rsid w:val="00EA192E"/>
    <w:rsid w:val="00EA3D71"/>
    <w:rsid w:val="00EA4BA3"/>
    <w:rsid w:val="00EB104C"/>
    <w:rsid w:val="00EB1AF0"/>
    <w:rsid w:val="00EB450A"/>
    <w:rsid w:val="00EB48D0"/>
    <w:rsid w:val="00EC17B9"/>
    <w:rsid w:val="00EC673A"/>
    <w:rsid w:val="00ED058E"/>
    <w:rsid w:val="00ED2D0D"/>
    <w:rsid w:val="00ED3326"/>
    <w:rsid w:val="00ED38A7"/>
    <w:rsid w:val="00ED7BB8"/>
    <w:rsid w:val="00EE133B"/>
    <w:rsid w:val="00EE1978"/>
    <w:rsid w:val="00EE2F1A"/>
    <w:rsid w:val="00EE32F5"/>
    <w:rsid w:val="00EE35A3"/>
    <w:rsid w:val="00EE39FC"/>
    <w:rsid w:val="00EE427C"/>
    <w:rsid w:val="00EF2172"/>
    <w:rsid w:val="00EF4A32"/>
    <w:rsid w:val="00EF4CC0"/>
    <w:rsid w:val="00EF6ED0"/>
    <w:rsid w:val="00EF794F"/>
    <w:rsid w:val="00F00536"/>
    <w:rsid w:val="00F01454"/>
    <w:rsid w:val="00F041EF"/>
    <w:rsid w:val="00F15D7B"/>
    <w:rsid w:val="00F20487"/>
    <w:rsid w:val="00F23BAF"/>
    <w:rsid w:val="00F24771"/>
    <w:rsid w:val="00F248D1"/>
    <w:rsid w:val="00F27B15"/>
    <w:rsid w:val="00F27E15"/>
    <w:rsid w:val="00F3060A"/>
    <w:rsid w:val="00F317DE"/>
    <w:rsid w:val="00F34F4E"/>
    <w:rsid w:val="00F35B5A"/>
    <w:rsid w:val="00F35DE9"/>
    <w:rsid w:val="00F4051F"/>
    <w:rsid w:val="00F43807"/>
    <w:rsid w:val="00F43B08"/>
    <w:rsid w:val="00F45D8D"/>
    <w:rsid w:val="00F46FB5"/>
    <w:rsid w:val="00F501A2"/>
    <w:rsid w:val="00F503CC"/>
    <w:rsid w:val="00F51A88"/>
    <w:rsid w:val="00F54D20"/>
    <w:rsid w:val="00F560CA"/>
    <w:rsid w:val="00F6024B"/>
    <w:rsid w:val="00F60597"/>
    <w:rsid w:val="00F609D0"/>
    <w:rsid w:val="00F60A7C"/>
    <w:rsid w:val="00F66506"/>
    <w:rsid w:val="00F71B45"/>
    <w:rsid w:val="00F7238C"/>
    <w:rsid w:val="00F7359A"/>
    <w:rsid w:val="00F7392C"/>
    <w:rsid w:val="00F76DD5"/>
    <w:rsid w:val="00F83D25"/>
    <w:rsid w:val="00F8519E"/>
    <w:rsid w:val="00F858E6"/>
    <w:rsid w:val="00F946DF"/>
    <w:rsid w:val="00F9593B"/>
    <w:rsid w:val="00F95D90"/>
    <w:rsid w:val="00FA0368"/>
    <w:rsid w:val="00FA3FFF"/>
    <w:rsid w:val="00FB05FC"/>
    <w:rsid w:val="00FB088F"/>
    <w:rsid w:val="00FB0FC8"/>
    <w:rsid w:val="00FB23FA"/>
    <w:rsid w:val="00FB2668"/>
    <w:rsid w:val="00FC2561"/>
    <w:rsid w:val="00FC32AA"/>
    <w:rsid w:val="00FC3585"/>
    <w:rsid w:val="00FC4B08"/>
    <w:rsid w:val="00FC53C8"/>
    <w:rsid w:val="00FC7674"/>
    <w:rsid w:val="00FC76C7"/>
    <w:rsid w:val="00FC7B9C"/>
    <w:rsid w:val="00FD1A1A"/>
    <w:rsid w:val="00FD24CB"/>
    <w:rsid w:val="00FD4214"/>
    <w:rsid w:val="00FE0EB3"/>
    <w:rsid w:val="00FE2D3A"/>
    <w:rsid w:val="00FE323A"/>
    <w:rsid w:val="00FE4C52"/>
    <w:rsid w:val="00FE5507"/>
    <w:rsid w:val="00FE5B0B"/>
    <w:rsid w:val="00FE62FB"/>
    <w:rsid w:val="00FF60C0"/>
    <w:rsid w:val="00FF61B4"/>
    <w:rsid w:val="00FF6B0A"/>
    <w:rsid w:val="00FF7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14:docId w14:val="6E6E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605"/>
    <w:pPr>
      <w:widowControl w:val="0"/>
      <w:spacing w:before="60" w:after="60"/>
      <w:ind w:firstLine="284"/>
      <w:jc w:val="both"/>
    </w:pPr>
    <w:rPr>
      <w:szCs w:val="28"/>
      <w:lang w:eastAsia="en-US"/>
    </w:rPr>
  </w:style>
  <w:style w:type="paragraph" w:styleId="Heading1">
    <w:name w:val="heading 1"/>
    <w:basedOn w:val="Normal"/>
    <w:next w:val="Normal"/>
    <w:qFormat/>
    <w:rsid w:val="00DE7402"/>
    <w:pPr>
      <w:numPr>
        <w:numId w:val="38"/>
      </w:numPr>
      <w:outlineLvl w:val="0"/>
    </w:pPr>
    <w:rPr>
      <w:rFonts w:asciiTheme="minorHAnsi" w:hAnsiTheme="minorHAnsi"/>
      <w:b/>
      <w:szCs w:val="20"/>
    </w:rPr>
  </w:style>
  <w:style w:type="paragraph" w:styleId="Heading2">
    <w:name w:val="heading 2"/>
    <w:basedOn w:val="Normal"/>
    <w:next w:val="Normal"/>
    <w:link w:val="Heading2Char"/>
    <w:qFormat/>
    <w:rsid w:val="00DE7402"/>
    <w:pPr>
      <w:numPr>
        <w:ilvl w:val="1"/>
        <w:numId w:val="38"/>
      </w:numPr>
      <w:outlineLvl w:val="1"/>
    </w:pPr>
    <w:rPr>
      <w:rFonts w:asciiTheme="minorHAnsi" w:hAnsiTheme="minorHAnsi"/>
      <w:b/>
      <w:bCs/>
      <w:i/>
      <w:iCs/>
    </w:rPr>
  </w:style>
  <w:style w:type="paragraph" w:styleId="Heading3">
    <w:name w:val="heading 3"/>
    <w:basedOn w:val="Normal"/>
    <w:next w:val="Normal"/>
    <w:link w:val="Heading3Char"/>
    <w:qFormat/>
    <w:rsid w:val="00617E71"/>
    <w:pPr>
      <w:numPr>
        <w:ilvl w:val="2"/>
        <w:numId w:val="38"/>
      </w:numPr>
      <w:ind w:left="0"/>
      <w:outlineLvl w:val="2"/>
    </w:pPr>
    <w:rPr>
      <w:rFonts w:asciiTheme="minorHAnsi" w:hAnsiTheme="minorHAnsi"/>
      <w:i/>
      <w:szCs w:val="20"/>
    </w:rPr>
  </w:style>
  <w:style w:type="paragraph" w:styleId="Heading4">
    <w:name w:val="heading 4"/>
    <w:basedOn w:val="Normal"/>
    <w:next w:val="Normal"/>
    <w:qFormat/>
    <w:rsid w:val="002154FD"/>
    <w:pPr>
      <w:numPr>
        <w:ilvl w:val="3"/>
        <w:numId w:val="38"/>
      </w:numPr>
      <w:outlineLvl w:val="3"/>
    </w:pPr>
    <w:rPr>
      <w:rFonts w:asciiTheme="minorHAnsi" w:hAnsiTheme="minorHAnsi"/>
      <w:b/>
      <w:szCs w:val="20"/>
    </w:rPr>
  </w:style>
  <w:style w:type="paragraph" w:styleId="Heading5">
    <w:name w:val="heading 5"/>
    <w:basedOn w:val="Normal"/>
    <w:next w:val="Normal"/>
    <w:qFormat/>
    <w:pPr>
      <w:numPr>
        <w:ilvl w:val="4"/>
        <w:numId w:val="38"/>
      </w:numPr>
      <w:spacing w:before="240"/>
      <w:outlineLvl w:val="4"/>
    </w:pPr>
    <w:rPr>
      <w:rFonts w:ascii="VNtimes new roman" w:hAnsi="VNtimes new roman"/>
      <w:sz w:val="26"/>
      <w:szCs w:val="20"/>
    </w:rPr>
  </w:style>
  <w:style w:type="paragraph" w:styleId="Heading6">
    <w:name w:val="heading 6"/>
    <w:basedOn w:val="Normal"/>
    <w:next w:val="Normal"/>
    <w:link w:val="Heading6Char"/>
    <w:qFormat/>
    <w:rsid w:val="00B6194D"/>
    <w:pPr>
      <w:numPr>
        <w:ilvl w:val="5"/>
        <w:numId w:val="38"/>
      </w:numPr>
      <w:spacing w:before="240"/>
      <w:outlineLvl w:val="5"/>
    </w:pPr>
    <w:rPr>
      <w:rFonts w:ascii="Calibri" w:hAnsi="Calibri"/>
      <w:b/>
      <w:bCs/>
      <w:sz w:val="24"/>
      <w:szCs w:val="22"/>
    </w:rPr>
  </w:style>
  <w:style w:type="paragraph" w:styleId="Heading7">
    <w:name w:val="heading 7"/>
    <w:basedOn w:val="Normal"/>
    <w:next w:val="Normal"/>
    <w:qFormat/>
    <w:pPr>
      <w:keepNext/>
      <w:numPr>
        <w:ilvl w:val="6"/>
        <w:numId w:val="38"/>
      </w:numPr>
      <w:jc w:val="center"/>
      <w:outlineLvl w:val="6"/>
    </w:pPr>
    <w:rPr>
      <w:rFonts w:ascii="VNtimes new roman" w:hAnsi="VNtimes new roman"/>
      <w:b/>
      <w:sz w:val="26"/>
      <w:szCs w:val="20"/>
    </w:rPr>
  </w:style>
  <w:style w:type="paragraph" w:styleId="Heading8">
    <w:name w:val="heading 8"/>
    <w:basedOn w:val="Normal"/>
    <w:next w:val="Normal"/>
    <w:qFormat/>
    <w:pPr>
      <w:keepNext/>
      <w:numPr>
        <w:ilvl w:val="7"/>
        <w:numId w:val="38"/>
      </w:numPr>
      <w:jc w:val="center"/>
      <w:outlineLvl w:val="7"/>
    </w:pPr>
    <w:rPr>
      <w:rFonts w:ascii=".VnTime" w:hAnsi=".VnTime"/>
      <w:b/>
      <w:sz w:val="24"/>
      <w:szCs w:val="20"/>
    </w:rPr>
  </w:style>
  <w:style w:type="paragraph" w:styleId="Heading9">
    <w:name w:val="heading 9"/>
    <w:basedOn w:val="Normal"/>
    <w:next w:val="Normal"/>
    <w:link w:val="Heading9Char"/>
    <w:qFormat/>
    <w:rsid w:val="00B6194D"/>
    <w:pPr>
      <w:numPr>
        <w:ilvl w:val="8"/>
        <w:numId w:val="38"/>
      </w:numPr>
      <w:spacing w:before="240"/>
      <w:outlineLvl w:val="8"/>
    </w:pPr>
    <w:rPr>
      <w:rFonts w:ascii="Cambria" w:hAnsi="Cambri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5288B"/>
    <w:pPr>
      <w:ind w:left="720"/>
      <w:contextualSpacing/>
    </w:pPr>
  </w:style>
  <w:style w:type="paragraph" w:styleId="Header">
    <w:name w:val="header"/>
    <w:basedOn w:val="Normal"/>
    <w:link w:val="HeaderChar"/>
    <w:rsid w:val="003F4592"/>
    <w:pPr>
      <w:tabs>
        <w:tab w:val="right" w:pos="9639"/>
      </w:tabs>
    </w:pPr>
    <w:rPr>
      <w:rFonts w:ascii="Arial" w:hAnsi="Arial"/>
      <w:sz w:val="16"/>
      <w:szCs w:val="20"/>
    </w:rPr>
  </w:style>
  <w:style w:type="paragraph" w:styleId="Footer">
    <w:name w:val="footer"/>
    <w:basedOn w:val="Normal"/>
    <w:rsid w:val="00DA6BDA"/>
    <w:pPr>
      <w:tabs>
        <w:tab w:val="center" w:pos="4320"/>
        <w:tab w:val="right" w:pos="8640"/>
      </w:tabs>
    </w:pPr>
    <w:rPr>
      <w:rFonts w:ascii="Arial" w:hAnsi="Arial"/>
    </w:rPr>
  </w:style>
  <w:style w:type="character" w:styleId="PageNumber">
    <w:name w:val="page number"/>
    <w:basedOn w:val="DefaultParagraphFont"/>
  </w:style>
  <w:style w:type="paragraph" w:styleId="Caption">
    <w:name w:val="caption"/>
    <w:basedOn w:val="Normal"/>
    <w:next w:val="Normal"/>
    <w:qFormat/>
    <w:rsid w:val="00133F6B"/>
    <w:pPr>
      <w:jc w:val="center"/>
    </w:pPr>
    <w:rPr>
      <w:bCs/>
      <w:i/>
      <w:sz w:val="18"/>
      <w:szCs w:val="20"/>
    </w:rPr>
  </w:style>
  <w:style w:type="paragraph" w:customStyle="1" w:styleId="01TiubiboVietnam">
    <w:name w:val="@01 Tiêu đề bài báo (Vietnam)"/>
    <w:basedOn w:val="Normal"/>
    <w:next w:val="Normal"/>
    <w:rsid w:val="006928B5"/>
    <w:pPr>
      <w:spacing w:before="240" w:after="120"/>
      <w:jc w:val="center"/>
    </w:pPr>
    <w:rPr>
      <w:rFonts w:asciiTheme="minorHAnsi" w:hAnsiTheme="minorHAnsi"/>
      <w:b/>
      <w:caps/>
      <w:sz w:val="26"/>
    </w:rPr>
  </w:style>
  <w:style w:type="paragraph" w:customStyle="1" w:styleId="02TiubiboEnglish">
    <w:name w:val="@02 Tiêu đề bài báo (English)"/>
    <w:basedOn w:val="Normal"/>
    <w:next w:val="Normal"/>
    <w:rsid w:val="006928B5"/>
    <w:pPr>
      <w:spacing w:before="120" w:after="240"/>
      <w:jc w:val="center"/>
    </w:pPr>
    <w:rPr>
      <w:rFonts w:asciiTheme="minorHAnsi" w:hAnsiTheme="minorHAnsi"/>
      <w:caps/>
      <w:sz w:val="24"/>
    </w:rPr>
  </w:style>
  <w:style w:type="paragraph" w:customStyle="1" w:styleId="03Tntcgibibo">
    <w:name w:val="@03 Tên tác giả bài báo"/>
    <w:basedOn w:val="Normal"/>
    <w:next w:val="04nvcngtccatcgi"/>
    <w:qFormat/>
    <w:rsid w:val="006928B5"/>
    <w:pPr>
      <w:jc w:val="center"/>
    </w:pPr>
    <w:rPr>
      <w:b/>
      <w:i/>
    </w:rPr>
  </w:style>
  <w:style w:type="paragraph" w:customStyle="1" w:styleId="04nvcngtccatcgi">
    <w:name w:val="@04 Đơn vị công tác của tác giả"/>
    <w:basedOn w:val="Normal"/>
    <w:next w:val="Normal"/>
    <w:qFormat/>
    <w:rsid w:val="002D26E5"/>
    <w:pPr>
      <w:spacing w:before="0" w:after="0"/>
      <w:jc w:val="center"/>
    </w:pPr>
    <w:rPr>
      <w:rFonts w:asciiTheme="minorHAnsi" w:hAnsiTheme="minorHAnsi"/>
      <w:i/>
    </w:rPr>
  </w:style>
  <w:style w:type="paragraph" w:customStyle="1" w:styleId="05Tmtt-Abstract">
    <w:name w:val="@05 Tóm tắt - Abstract"/>
    <w:basedOn w:val="Normal"/>
    <w:next w:val="Normal"/>
    <w:link w:val="05Tmtt-AbstractChar"/>
    <w:qFormat/>
    <w:rsid w:val="00E14AE4"/>
    <w:pPr>
      <w:tabs>
        <w:tab w:val="left" w:pos="284"/>
      </w:tabs>
    </w:pPr>
    <w:rPr>
      <w:rFonts w:asciiTheme="majorHAnsi" w:hAnsiTheme="majorHAnsi"/>
      <w:sz w:val="16"/>
    </w:rPr>
  </w:style>
  <w:style w:type="character" w:customStyle="1" w:styleId="Heading2Char">
    <w:name w:val="Heading 2 Char"/>
    <w:link w:val="Heading2"/>
    <w:rsid w:val="00DE7402"/>
    <w:rPr>
      <w:rFonts w:asciiTheme="minorHAnsi" w:hAnsiTheme="minorHAnsi"/>
      <w:b/>
      <w:bCs/>
      <w:i/>
      <w:iCs/>
      <w:szCs w:val="28"/>
    </w:rPr>
  </w:style>
  <w:style w:type="character" w:customStyle="1" w:styleId="Heading6Char">
    <w:name w:val="Heading 6 Char"/>
    <w:link w:val="Heading6"/>
    <w:rsid w:val="00B6194D"/>
    <w:rPr>
      <w:rFonts w:ascii="Calibri" w:hAnsi="Calibri"/>
      <w:b/>
      <w:bCs/>
      <w:sz w:val="24"/>
      <w:szCs w:val="22"/>
    </w:rPr>
  </w:style>
  <w:style w:type="character" w:customStyle="1" w:styleId="Heading9Char">
    <w:name w:val="Heading 9 Char"/>
    <w:link w:val="Heading9"/>
    <w:rsid w:val="00B6194D"/>
    <w:rPr>
      <w:rFonts w:ascii="Cambria" w:hAnsi="Cambria"/>
      <w:sz w:val="24"/>
      <w:szCs w:val="22"/>
    </w:rPr>
  </w:style>
  <w:style w:type="paragraph" w:customStyle="1" w:styleId="11TiliuthamkhoTiu">
    <w:name w:val="@11 Tài liệu tham khảo (Tiêu đề)"/>
    <w:basedOn w:val="Normal"/>
    <w:next w:val="Normal"/>
    <w:qFormat/>
    <w:rsid w:val="0011467B"/>
    <w:pPr>
      <w:jc w:val="center"/>
    </w:pPr>
    <w:rPr>
      <w:rFonts w:asciiTheme="minorHAnsi" w:hAnsiTheme="minorHAnsi"/>
      <w:b/>
    </w:rPr>
  </w:style>
  <w:style w:type="table" w:styleId="TableGrid">
    <w:name w:val="Table Grid"/>
    <w:basedOn w:val="TableNormal"/>
    <w:uiPriority w:val="59"/>
    <w:rsid w:val="00587D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
  </w:style>
  <w:style w:type="paragraph" w:customStyle="1" w:styleId="10TiliuthamkhoNidung">
    <w:name w:val="@10 Tài liệu tham khảo (Nội dung)"/>
    <w:basedOn w:val="Normal"/>
    <w:next w:val="Normal"/>
    <w:qFormat/>
    <w:rsid w:val="0011467B"/>
    <w:pPr>
      <w:numPr>
        <w:ilvl w:val="8"/>
        <w:numId w:val="1"/>
      </w:numPr>
      <w:tabs>
        <w:tab w:val="clear" w:pos="596"/>
        <w:tab w:val="num" w:pos="454"/>
      </w:tabs>
      <w:spacing w:before="0" w:after="0"/>
      <w:ind w:left="284" w:hanging="284"/>
      <w:outlineLvl w:val="1"/>
    </w:pPr>
    <w:rPr>
      <w:rFonts w:asciiTheme="minorHAnsi" w:hAnsiTheme="minorHAnsi"/>
      <w:sz w:val="16"/>
    </w:rPr>
  </w:style>
  <w:style w:type="paragraph" w:styleId="Title">
    <w:name w:val="Title"/>
    <w:basedOn w:val="Normal"/>
    <w:link w:val="TitleChar"/>
    <w:qFormat/>
    <w:rsid w:val="00F01454"/>
    <w:pPr>
      <w:jc w:val="center"/>
    </w:pPr>
    <w:rPr>
      <w:b/>
      <w:sz w:val="28"/>
      <w:szCs w:val="20"/>
    </w:rPr>
  </w:style>
  <w:style w:type="character" w:customStyle="1" w:styleId="TitleChar">
    <w:name w:val="Title Char"/>
    <w:link w:val="Title"/>
    <w:rsid w:val="00F01454"/>
    <w:rPr>
      <w:b/>
      <w:sz w:val="28"/>
    </w:rPr>
  </w:style>
  <w:style w:type="character" w:customStyle="1" w:styleId="HeaderChar">
    <w:name w:val="Header Char"/>
    <w:link w:val="Header"/>
    <w:rsid w:val="003F4592"/>
    <w:rPr>
      <w:rFonts w:ascii="Arial" w:hAnsi="Arial"/>
      <w:sz w:val="16"/>
    </w:rPr>
  </w:style>
  <w:style w:type="character" w:customStyle="1" w:styleId="05Tmtt-AbstractChar">
    <w:name w:val="@05 Tóm tắt - Abstract Char"/>
    <w:link w:val="05Tmtt-Abstract"/>
    <w:rsid w:val="00E14AE4"/>
    <w:rPr>
      <w:rFonts w:asciiTheme="majorHAnsi" w:hAnsiTheme="majorHAnsi"/>
      <w:sz w:val="16"/>
      <w:szCs w:val="28"/>
    </w:rPr>
  </w:style>
  <w:style w:type="paragraph" w:styleId="BalloonText">
    <w:name w:val="Balloon Text"/>
    <w:basedOn w:val="Normal"/>
    <w:link w:val="BalloonTextChar"/>
    <w:rsid w:val="00BA4605"/>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BA4605"/>
    <w:rPr>
      <w:rFonts w:ascii="Segoe UI" w:hAnsi="Segoe UI" w:cs="Segoe UI"/>
      <w:sz w:val="18"/>
      <w:szCs w:val="18"/>
      <w:lang w:eastAsia="en-US"/>
    </w:rPr>
  </w:style>
  <w:style w:type="paragraph" w:customStyle="1" w:styleId="f3">
    <w:name w:val="f3"/>
    <w:basedOn w:val="Heading3"/>
    <w:link w:val="f3Char"/>
    <w:autoRedefine/>
    <w:qFormat/>
    <w:rsid w:val="000D4450"/>
    <w:pPr>
      <w:keepNext/>
      <w:keepLines/>
      <w:widowControl/>
      <w:numPr>
        <w:ilvl w:val="0"/>
        <w:numId w:val="0"/>
      </w:numPr>
      <w:spacing w:before="0" w:after="0" w:line="360" w:lineRule="auto"/>
      <w:ind w:firstLine="567"/>
    </w:pPr>
    <w:rPr>
      <w:rFonts w:ascii="Times New Roman" w:eastAsiaTheme="majorEastAsia" w:hAnsi="Times New Roman" w:cstheme="majorBidi"/>
      <w:b/>
      <w:bCs/>
      <w:i w:val="0"/>
      <w:sz w:val="24"/>
      <w:szCs w:val="24"/>
    </w:rPr>
  </w:style>
  <w:style w:type="character" w:customStyle="1" w:styleId="f3Char">
    <w:name w:val="f3 Char"/>
    <w:basedOn w:val="DefaultParagraphFont"/>
    <w:link w:val="f3"/>
    <w:rsid w:val="000D4450"/>
    <w:rPr>
      <w:rFonts w:eastAsiaTheme="majorEastAsia" w:cstheme="majorBidi"/>
      <w:b/>
      <w:bCs/>
      <w:sz w:val="24"/>
      <w:szCs w:val="24"/>
      <w:lang w:eastAsia="en-US"/>
    </w:rPr>
  </w:style>
  <w:style w:type="paragraph" w:customStyle="1" w:styleId="fhhhhhh">
    <w:name w:val="fhhhhhh"/>
    <w:basedOn w:val="Normal"/>
    <w:link w:val="fhhhhhhChar"/>
    <w:autoRedefine/>
    <w:qFormat/>
    <w:rsid w:val="002957A7"/>
    <w:pPr>
      <w:widowControl/>
      <w:shd w:val="clear" w:color="auto" w:fill="FFFFFF"/>
      <w:spacing w:before="0" w:after="0" w:line="360" w:lineRule="auto"/>
      <w:ind w:firstLine="0"/>
    </w:pPr>
    <w:rPr>
      <w:b/>
      <w:i/>
      <w:sz w:val="18"/>
      <w:szCs w:val="18"/>
    </w:rPr>
  </w:style>
  <w:style w:type="character" w:customStyle="1" w:styleId="fhhhhhhChar">
    <w:name w:val="fhhhhhh Char"/>
    <w:basedOn w:val="DefaultParagraphFont"/>
    <w:link w:val="fhhhhhh"/>
    <w:rsid w:val="002957A7"/>
    <w:rPr>
      <w:b/>
      <w:i/>
      <w:sz w:val="18"/>
      <w:szCs w:val="18"/>
      <w:shd w:val="clear" w:color="auto" w:fill="FFFFFF"/>
      <w:lang w:eastAsia="en-US"/>
    </w:rPr>
  </w:style>
  <w:style w:type="character" w:customStyle="1" w:styleId="Heading3Char">
    <w:name w:val="Heading 3 Char"/>
    <w:basedOn w:val="DefaultParagraphFont"/>
    <w:link w:val="Heading3"/>
    <w:rsid w:val="00B31425"/>
    <w:rPr>
      <w:rFonts w:asciiTheme="minorHAnsi" w:hAnsiTheme="minorHAnsi"/>
      <w:i/>
      <w:lang w:eastAsia="en-US"/>
    </w:rPr>
  </w:style>
  <w:style w:type="paragraph" w:styleId="CommentText">
    <w:name w:val="annotation text"/>
    <w:basedOn w:val="Normal"/>
    <w:link w:val="CommentTextChar"/>
    <w:unhideWhenUsed/>
    <w:rsid w:val="006644C9"/>
    <w:pPr>
      <w:widowControl/>
      <w:spacing w:before="0" w:after="0"/>
      <w:ind w:firstLine="0"/>
      <w:jc w:val="left"/>
    </w:pPr>
    <w:rPr>
      <w:szCs w:val="20"/>
    </w:rPr>
  </w:style>
  <w:style w:type="character" w:customStyle="1" w:styleId="CommentTextChar">
    <w:name w:val="Comment Text Char"/>
    <w:basedOn w:val="DefaultParagraphFont"/>
    <w:link w:val="CommentText"/>
    <w:rsid w:val="006644C9"/>
    <w:rPr>
      <w:lang w:eastAsia="en-US"/>
    </w:rPr>
  </w:style>
  <w:style w:type="character" w:customStyle="1" w:styleId="ListParagraphChar">
    <w:name w:val="List Paragraph Char"/>
    <w:link w:val="ListParagraph"/>
    <w:uiPriority w:val="34"/>
    <w:locked/>
    <w:rsid w:val="00DA650B"/>
    <w:rPr>
      <w:szCs w:val="28"/>
      <w:lang w:eastAsia="en-US"/>
    </w:rPr>
  </w:style>
  <w:style w:type="character" w:customStyle="1" w:styleId="f4">
    <w:name w:val="f4"/>
    <w:basedOn w:val="DefaultParagraphFont"/>
    <w:rsid w:val="00AA4A95"/>
  </w:style>
  <w:style w:type="character" w:customStyle="1" w:styleId="f8">
    <w:name w:val="f8"/>
    <w:basedOn w:val="DefaultParagraphFont"/>
    <w:rsid w:val="00AA4A95"/>
  </w:style>
  <w:style w:type="character" w:styleId="PlaceholderText">
    <w:name w:val="Placeholder Text"/>
    <w:basedOn w:val="DefaultParagraphFont"/>
    <w:uiPriority w:val="99"/>
    <w:semiHidden/>
    <w:rsid w:val="008C7E2A"/>
    <w:rPr>
      <w:color w:val="808080"/>
    </w:rPr>
  </w:style>
  <w:style w:type="character" w:styleId="CommentReference">
    <w:name w:val="annotation reference"/>
    <w:basedOn w:val="DefaultParagraphFont"/>
    <w:semiHidden/>
    <w:unhideWhenUsed/>
    <w:rsid w:val="00AC2272"/>
    <w:rPr>
      <w:sz w:val="16"/>
      <w:szCs w:val="16"/>
    </w:rPr>
  </w:style>
  <w:style w:type="paragraph" w:styleId="CommentSubject">
    <w:name w:val="annotation subject"/>
    <w:basedOn w:val="CommentText"/>
    <w:next w:val="CommentText"/>
    <w:link w:val="CommentSubjectChar"/>
    <w:semiHidden/>
    <w:unhideWhenUsed/>
    <w:rsid w:val="00AC2272"/>
    <w:pPr>
      <w:widowControl w:val="0"/>
      <w:spacing w:before="60" w:after="60"/>
      <w:ind w:firstLine="284"/>
      <w:jc w:val="both"/>
    </w:pPr>
    <w:rPr>
      <w:b/>
      <w:bCs/>
    </w:rPr>
  </w:style>
  <w:style w:type="character" w:customStyle="1" w:styleId="CommentSubjectChar">
    <w:name w:val="Comment Subject Char"/>
    <w:basedOn w:val="CommentTextChar"/>
    <w:link w:val="CommentSubject"/>
    <w:semiHidden/>
    <w:rsid w:val="00AC2272"/>
    <w:rPr>
      <w:b/>
      <w:bCs/>
      <w:lang w:eastAsia="en-US"/>
    </w:rPr>
  </w:style>
  <w:style w:type="paragraph" w:styleId="Revision">
    <w:name w:val="Revision"/>
    <w:hidden/>
    <w:uiPriority w:val="99"/>
    <w:semiHidden/>
    <w:rsid w:val="00883F2F"/>
    <w:rPr>
      <w:szCs w:val="28"/>
      <w:lang w:eastAsia="en-US"/>
    </w:rPr>
  </w:style>
  <w:style w:type="character" w:customStyle="1" w:styleId="apple-converted-space">
    <w:name w:val="apple-converted-space"/>
    <w:basedOn w:val="DefaultParagraphFont"/>
    <w:rsid w:val="00BE3826"/>
  </w:style>
  <w:style w:type="character" w:styleId="Strong">
    <w:name w:val="Strong"/>
    <w:basedOn w:val="DefaultParagraphFont"/>
    <w:uiPriority w:val="22"/>
    <w:qFormat/>
    <w:rsid w:val="00BE3826"/>
    <w:rPr>
      <w:b/>
      <w:bCs/>
    </w:rPr>
  </w:style>
  <w:style w:type="character" w:styleId="Hyperlink">
    <w:name w:val="Hyperlink"/>
    <w:basedOn w:val="DefaultParagraphFont"/>
    <w:uiPriority w:val="99"/>
    <w:semiHidden/>
    <w:unhideWhenUsed/>
    <w:rsid w:val="00BE3826"/>
    <w:rPr>
      <w:color w:val="0000FF"/>
      <w:u w:val="single"/>
    </w:rPr>
  </w:style>
  <w:style w:type="character" w:customStyle="1" w:styleId="adjust">
    <w:name w:val="adjust"/>
    <w:basedOn w:val="DefaultParagraphFont"/>
    <w:rsid w:val="00BE3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67358">
      <w:bodyDiv w:val="1"/>
      <w:marLeft w:val="0"/>
      <w:marRight w:val="0"/>
      <w:marTop w:val="0"/>
      <w:marBottom w:val="0"/>
      <w:divBdr>
        <w:top w:val="none" w:sz="0" w:space="0" w:color="auto"/>
        <w:left w:val="none" w:sz="0" w:space="0" w:color="auto"/>
        <w:bottom w:val="none" w:sz="0" w:space="0" w:color="auto"/>
        <w:right w:val="none" w:sz="0" w:space="0" w:color="auto"/>
      </w:divBdr>
    </w:div>
    <w:div w:id="770707627">
      <w:bodyDiv w:val="1"/>
      <w:marLeft w:val="0"/>
      <w:marRight w:val="0"/>
      <w:marTop w:val="0"/>
      <w:marBottom w:val="0"/>
      <w:divBdr>
        <w:top w:val="none" w:sz="0" w:space="0" w:color="auto"/>
        <w:left w:val="none" w:sz="0" w:space="0" w:color="auto"/>
        <w:bottom w:val="none" w:sz="0" w:space="0" w:color="auto"/>
        <w:right w:val="none" w:sz="0" w:space="0" w:color="auto"/>
      </w:divBdr>
    </w:div>
    <w:div w:id="1191843618">
      <w:bodyDiv w:val="1"/>
      <w:marLeft w:val="0"/>
      <w:marRight w:val="0"/>
      <w:marTop w:val="0"/>
      <w:marBottom w:val="0"/>
      <w:divBdr>
        <w:top w:val="none" w:sz="0" w:space="0" w:color="auto"/>
        <w:left w:val="none" w:sz="0" w:space="0" w:color="auto"/>
        <w:bottom w:val="none" w:sz="0" w:space="0" w:color="auto"/>
        <w:right w:val="none" w:sz="0" w:space="0" w:color="auto"/>
      </w:divBdr>
    </w:div>
    <w:div w:id="142144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openlibrary.org/publishers/W._B._Saunders"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chart" Target="charts/chart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openlibrary.org/languages/eng"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s://openlibrary.org/search/subjects?q=London" TargetMode="External"/><Relationship Id="rId10" Type="http://schemas.openxmlformats.org/officeDocument/2006/relationships/header" Target="header2.xml"/><Relationship Id="rId19" Type="http://schemas.openxmlformats.org/officeDocument/2006/relationships/chart" Target="charts/chart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hyperlink" Target="https://openlibrary.org/search/subjects?q=Philadelphia"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MASTER\LUAN%20VAN%20TOT%20NGHIEP\&#272;&#7872;%20T&#192;I\X&#7917;%20l&#237;%20s&#7889;%20li&#7879;u%20m&#7899;i%20nh&#7845;t.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NgocPhuSH\AppData\Roaming\Microsoft\Excel\X&#7917;%20l&#237;%20s&#7889;%20li&#7879;u%20m&#7899;i%20nh&#7845;t%20(version%202).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Chart%20in%20Microsoft%20Word"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Chart%20in%20Microsoft%20Word"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666073717529511E-2"/>
          <c:y val="0.19137372309516618"/>
          <c:w val="0.515995346636834"/>
          <c:h val="0.692646424214301"/>
        </c:manualLayout>
      </c:layout>
      <c:scatterChart>
        <c:scatterStyle val="smoothMarker"/>
        <c:varyColors val="0"/>
        <c:ser>
          <c:idx val="1"/>
          <c:order val="0"/>
          <c:tx>
            <c:v>Đường sót (%)</c:v>
          </c:tx>
          <c:spPr>
            <a:ln w="15875">
              <a:solidFill>
                <a:srgbClr val="00B050"/>
              </a:solidFill>
            </a:ln>
          </c:spPr>
          <c:marker>
            <c:symbol val="square"/>
            <c:size val="4"/>
            <c:spPr>
              <a:solidFill>
                <a:srgbClr val="FF66CC"/>
              </a:solidFill>
            </c:spPr>
          </c:marker>
          <c:xVal>
            <c:numRef>
              <c:f>Sheet3!$B$7:$B$11</c:f>
              <c:numCache>
                <c:formatCode>General</c:formatCode>
                <c:ptCount val="5"/>
                <c:pt idx="0">
                  <c:v>0</c:v>
                </c:pt>
                <c:pt idx="1">
                  <c:v>24</c:v>
                </c:pt>
                <c:pt idx="2">
                  <c:v>48</c:v>
                </c:pt>
                <c:pt idx="3">
                  <c:v>72</c:v>
                </c:pt>
                <c:pt idx="4">
                  <c:v>96</c:v>
                </c:pt>
              </c:numCache>
            </c:numRef>
          </c:xVal>
          <c:yVal>
            <c:numRef>
              <c:f>Sheet3!$D$7:$D$11</c:f>
              <c:numCache>
                <c:formatCode>General</c:formatCode>
                <c:ptCount val="5"/>
                <c:pt idx="0">
                  <c:v>16.71</c:v>
                </c:pt>
                <c:pt idx="1">
                  <c:v>13.15</c:v>
                </c:pt>
                <c:pt idx="2">
                  <c:v>6.36</c:v>
                </c:pt>
                <c:pt idx="3">
                  <c:v>1.87</c:v>
                </c:pt>
                <c:pt idx="4">
                  <c:v>1.08</c:v>
                </c:pt>
              </c:numCache>
            </c:numRef>
          </c:yVal>
          <c:smooth val="0"/>
        </c:ser>
        <c:ser>
          <c:idx val="3"/>
          <c:order val="3"/>
          <c:tx>
            <c:v>Brix (%)</c:v>
          </c:tx>
          <c:spPr>
            <a:ln w="15875">
              <a:solidFill>
                <a:srgbClr val="00B0F0"/>
              </a:solidFill>
            </a:ln>
          </c:spPr>
          <c:marker>
            <c:symbol val="circle"/>
            <c:size val="4"/>
            <c:spPr>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c:spPr>
          </c:marker>
          <c:dPt>
            <c:idx val="0"/>
            <c:marker>
              <c:symbol val="circle"/>
              <c:size val="5"/>
            </c:marker>
            <c:bubble3D val="0"/>
          </c:dPt>
          <c:dPt>
            <c:idx val="1"/>
            <c:marker>
              <c:symbol val="circle"/>
              <c:size val="5"/>
            </c:marker>
            <c:bubble3D val="0"/>
          </c:dPt>
          <c:dPt>
            <c:idx val="2"/>
            <c:marker>
              <c:symbol val="circle"/>
              <c:size val="5"/>
            </c:marker>
            <c:bubble3D val="0"/>
          </c:dPt>
          <c:dPt>
            <c:idx val="3"/>
            <c:marker>
              <c:symbol val="circle"/>
              <c:size val="5"/>
            </c:marker>
            <c:bubble3D val="0"/>
          </c:dPt>
          <c:dPt>
            <c:idx val="4"/>
            <c:marker>
              <c:symbol val="circle"/>
              <c:size val="5"/>
            </c:marker>
            <c:bubble3D val="0"/>
          </c:dPt>
          <c:xVal>
            <c:numRef>
              <c:f>Sheet3!$B$7:$B$11</c:f>
              <c:numCache>
                <c:formatCode>General</c:formatCode>
                <c:ptCount val="5"/>
                <c:pt idx="0">
                  <c:v>0</c:v>
                </c:pt>
                <c:pt idx="1">
                  <c:v>24</c:v>
                </c:pt>
                <c:pt idx="2">
                  <c:v>48</c:v>
                </c:pt>
                <c:pt idx="3">
                  <c:v>72</c:v>
                </c:pt>
                <c:pt idx="4">
                  <c:v>96</c:v>
                </c:pt>
              </c:numCache>
            </c:numRef>
          </c:xVal>
          <c:yVal>
            <c:numRef>
              <c:f>Sheet3!$C$7:$C$11</c:f>
              <c:numCache>
                <c:formatCode>General</c:formatCode>
                <c:ptCount val="5"/>
                <c:pt idx="0">
                  <c:v>18</c:v>
                </c:pt>
                <c:pt idx="1">
                  <c:v>14.8</c:v>
                </c:pt>
                <c:pt idx="2">
                  <c:v>9.8000000000000007</c:v>
                </c:pt>
                <c:pt idx="3">
                  <c:v>6.8</c:v>
                </c:pt>
                <c:pt idx="4">
                  <c:v>5</c:v>
                </c:pt>
              </c:numCache>
            </c:numRef>
          </c:yVal>
          <c:smooth val="0"/>
        </c:ser>
        <c:dLbls>
          <c:showLegendKey val="0"/>
          <c:showVal val="0"/>
          <c:showCatName val="0"/>
          <c:showSerName val="0"/>
          <c:showPercent val="0"/>
          <c:showBubbleSize val="0"/>
        </c:dLbls>
        <c:axId val="315356912"/>
        <c:axId val="315363984"/>
      </c:scatterChart>
      <c:scatterChart>
        <c:scatterStyle val="smoothMarker"/>
        <c:varyColors val="0"/>
        <c:ser>
          <c:idx val="2"/>
          <c:order val="1"/>
          <c:tx>
            <c:v>Độ cồn (%)</c:v>
          </c:tx>
          <c:spPr>
            <a:ln w="15875">
              <a:solidFill>
                <a:srgbClr val="FF0000"/>
              </a:solidFill>
            </a:ln>
          </c:spPr>
          <c:marker>
            <c:symbol val="triangle"/>
            <c:size val="5"/>
            <c:spPr>
              <a:solidFill>
                <a:schemeClr val="tx1"/>
              </a:solidFill>
            </c:spPr>
          </c:marker>
          <c:xVal>
            <c:numRef>
              <c:f>Sheet3!$B$7:$B$11</c:f>
              <c:numCache>
                <c:formatCode>General</c:formatCode>
                <c:ptCount val="5"/>
                <c:pt idx="0">
                  <c:v>0</c:v>
                </c:pt>
                <c:pt idx="1">
                  <c:v>24</c:v>
                </c:pt>
                <c:pt idx="2">
                  <c:v>48</c:v>
                </c:pt>
                <c:pt idx="3">
                  <c:v>72</c:v>
                </c:pt>
                <c:pt idx="4">
                  <c:v>96</c:v>
                </c:pt>
              </c:numCache>
            </c:numRef>
          </c:xVal>
          <c:yVal>
            <c:numRef>
              <c:f>Sheet3!$E$7:$E$11</c:f>
              <c:numCache>
                <c:formatCode>General</c:formatCode>
                <c:ptCount val="5"/>
                <c:pt idx="0">
                  <c:v>0</c:v>
                </c:pt>
                <c:pt idx="1">
                  <c:v>3.5</c:v>
                </c:pt>
                <c:pt idx="2">
                  <c:v>7</c:v>
                </c:pt>
                <c:pt idx="3">
                  <c:v>7.9</c:v>
                </c:pt>
                <c:pt idx="4">
                  <c:v>8.1999999999999993</c:v>
                </c:pt>
              </c:numCache>
            </c:numRef>
          </c:yVal>
          <c:smooth val="0"/>
        </c:ser>
        <c:ser>
          <c:idx val="0"/>
          <c:order val="2"/>
          <c:tx>
            <c:v>Brix(%)</c:v>
          </c:tx>
          <c:xVal>
            <c:numRef>
              <c:f>Sheet3!$B$7:$B$10</c:f>
              <c:numCache>
                <c:formatCode>General</c:formatCode>
                <c:ptCount val="4"/>
                <c:pt idx="0">
                  <c:v>0</c:v>
                </c:pt>
                <c:pt idx="1">
                  <c:v>24</c:v>
                </c:pt>
                <c:pt idx="2">
                  <c:v>48</c:v>
                </c:pt>
                <c:pt idx="3">
                  <c:v>72</c:v>
                </c:pt>
              </c:numCache>
            </c:numRef>
          </c:xVal>
          <c:yVal>
            <c:numRef>
              <c:f>Sheet3!#REF!</c:f>
              <c:numCache>
                <c:formatCode>General</c:formatCode>
                <c:ptCount val="1"/>
                <c:pt idx="0">
                  <c:v>1</c:v>
                </c:pt>
              </c:numCache>
            </c:numRef>
          </c:yVal>
          <c:smooth val="1"/>
        </c:ser>
        <c:dLbls>
          <c:showLegendKey val="0"/>
          <c:showVal val="0"/>
          <c:showCatName val="0"/>
          <c:showSerName val="0"/>
          <c:showPercent val="0"/>
          <c:showBubbleSize val="0"/>
        </c:dLbls>
        <c:axId val="315358000"/>
        <c:axId val="315357456"/>
      </c:scatterChart>
      <c:valAx>
        <c:axId val="315356912"/>
        <c:scaling>
          <c:orientation val="minMax"/>
          <c:max val="96"/>
        </c:scaling>
        <c:delete val="0"/>
        <c:axPos val="b"/>
        <c:numFmt formatCode="General" sourceLinked="1"/>
        <c:majorTickMark val="out"/>
        <c:minorTickMark val="none"/>
        <c:tickLblPos val="nextTo"/>
        <c:txPr>
          <a:bodyPr/>
          <a:lstStyle/>
          <a:p>
            <a:pPr>
              <a:defRPr sz="800"/>
            </a:pPr>
            <a:endParaRPr lang="en-US"/>
          </a:p>
        </c:txPr>
        <c:crossAx val="315363984"/>
        <c:crosses val="autoZero"/>
        <c:crossBetween val="midCat"/>
        <c:majorUnit val="24"/>
      </c:valAx>
      <c:valAx>
        <c:axId val="315363984"/>
        <c:scaling>
          <c:orientation val="minMax"/>
        </c:scaling>
        <c:delete val="0"/>
        <c:axPos val="l"/>
        <c:numFmt formatCode="#,##0.00" sourceLinked="0"/>
        <c:majorTickMark val="out"/>
        <c:minorTickMark val="none"/>
        <c:tickLblPos val="nextTo"/>
        <c:txPr>
          <a:bodyPr/>
          <a:lstStyle/>
          <a:p>
            <a:pPr>
              <a:defRPr sz="800"/>
            </a:pPr>
            <a:endParaRPr lang="en-US"/>
          </a:p>
        </c:txPr>
        <c:crossAx val="315356912"/>
        <c:crosses val="autoZero"/>
        <c:crossBetween val="midCat"/>
      </c:valAx>
      <c:valAx>
        <c:axId val="315357456"/>
        <c:scaling>
          <c:orientation val="minMax"/>
          <c:max val="10"/>
        </c:scaling>
        <c:delete val="0"/>
        <c:axPos val="r"/>
        <c:numFmt formatCode="#,##0.00" sourceLinked="0"/>
        <c:majorTickMark val="out"/>
        <c:minorTickMark val="none"/>
        <c:tickLblPos val="nextTo"/>
        <c:txPr>
          <a:bodyPr/>
          <a:lstStyle/>
          <a:p>
            <a:pPr>
              <a:defRPr sz="800"/>
            </a:pPr>
            <a:endParaRPr lang="en-US"/>
          </a:p>
        </c:txPr>
        <c:crossAx val="315358000"/>
        <c:crosses val="max"/>
        <c:crossBetween val="midCat"/>
        <c:majorUnit val="1"/>
      </c:valAx>
      <c:valAx>
        <c:axId val="315358000"/>
        <c:scaling>
          <c:orientation val="minMax"/>
        </c:scaling>
        <c:delete val="1"/>
        <c:axPos val="b"/>
        <c:numFmt formatCode="General" sourceLinked="1"/>
        <c:majorTickMark val="out"/>
        <c:minorTickMark val="none"/>
        <c:tickLblPos val="nextTo"/>
        <c:crossAx val="315357456"/>
        <c:crosses val="autoZero"/>
        <c:crossBetween val="midCat"/>
      </c:valAx>
      <c:spPr>
        <a:pattFill prst="pct5">
          <a:fgClr>
            <a:schemeClr val="accent1"/>
          </a:fgClr>
          <a:bgClr>
            <a:schemeClr val="bg1"/>
          </a:bgClr>
        </a:pattFill>
        <a:ln w="25400">
          <a:noFill/>
        </a:ln>
      </c:spPr>
    </c:plotArea>
    <c:legend>
      <c:legendPos val="r"/>
      <c:legendEntry>
        <c:idx val="3"/>
        <c:delete val="1"/>
      </c:legendEntry>
      <c:layout>
        <c:manualLayout>
          <c:xMode val="edge"/>
          <c:yMode val="edge"/>
          <c:x val="0.73252925127004542"/>
          <c:y val="0.22416871786324385"/>
          <c:w val="0.26321837234655659"/>
          <c:h val="0.38390435953460833"/>
        </c:manualLayout>
      </c:layout>
      <c:overlay val="0"/>
      <c:txPr>
        <a:bodyPr/>
        <a:lstStyle/>
        <a:p>
          <a:pPr>
            <a:defRPr sz="800"/>
          </a:pPr>
          <a:endParaRPr lang="en-US"/>
        </a:p>
      </c:txPr>
    </c:legend>
    <c:plotVisOnly val="1"/>
    <c:dispBlanksAs val="gap"/>
    <c:showDLblsOverMax val="0"/>
  </c:chart>
  <c:spPr>
    <a:noFill/>
    <a:ln>
      <a:noFill/>
    </a:ln>
  </c:spPr>
  <c:txPr>
    <a:bodyPr/>
    <a:lstStyle/>
    <a:p>
      <a:pPr>
        <a:defRPr sz="1200">
          <a:latin typeface="Times New Roman" pitchFamily="18" charset="0"/>
          <a:cs typeface="Times New Roman" pitchFamily="18"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836578199946203"/>
          <c:y val="0.14092409334909087"/>
          <c:w val="0.47583433084334631"/>
          <c:h val="0.67124754359361105"/>
        </c:manualLayout>
      </c:layout>
      <c:scatterChart>
        <c:scatterStyle val="smoothMarker"/>
        <c:varyColors val="0"/>
        <c:ser>
          <c:idx val="1"/>
          <c:order val="0"/>
          <c:tx>
            <c:v>pH</c:v>
          </c:tx>
          <c:spPr>
            <a:ln w="15875">
              <a:solidFill>
                <a:srgbClr val="66FF33"/>
              </a:solidFill>
            </a:ln>
          </c:spPr>
          <c:marker>
            <c:symbol val="diamond"/>
            <c:size val="5"/>
            <c:spPr>
              <a:ln w="3175">
                <a:solidFill>
                  <a:srgbClr val="FF0000"/>
                </a:solidFill>
              </a:ln>
            </c:spPr>
          </c:marker>
          <c:dPt>
            <c:idx val="0"/>
            <c:marker>
              <c:spPr>
                <a:ln w="3175">
                  <a:solidFill>
                    <a:schemeClr val="tx1"/>
                  </a:solidFill>
                </a:ln>
              </c:spPr>
            </c:marker>
            <c:bubble3D val="0"/>
          </c:dPt>
          <c:dPt>
            <c:idx val="1"/>
            <c:marker>
              <c:spPr>
                <a:ln w="3175">
                  <a:solidFill>
                    <a:schemeClr val="tx1"/>
                  </a:solidFill>
                </a:ln>
              </c:spPr>
            </c:marker>
            <c:bubble3D val="0"/>
          </c:dPt>
          <c:dPt>
            <c:idx val="2"/>
            <c:marker>
              <c:spPr>
                <a:ln w="3175">
                  <a:solidFill>
                    <a:schemeClr val="tx1"/>
                  </a:solidFill>
                </a:ln>
              </c:spPr>
            </c:marker>
            <c:bubble3D val="0"/>
          </c:dPt>
          <c:dPt>
            <c:idx val="3"/>
            <c:marker>
              <c:spPr>
                <a:ln w="3175">
                  <a:solidFill>
                    <a:schemeClr val="tx1"/>
                  </a:solidFill>
                </a:ln>
              </c:spPr>
            </c:marker>
            <c:bubble3D val="0"/>
          </c:dPt>
          <c:dPt>
            <c:idx val="4"/>
            <c:marker>
              <c:spPr>
                <a:ln w="3175">
                  <a:solidFill>
                    <a:schemeClr val="tx1"/>
                  </a:solidFill>
                </a:ln>
              </c:spPr>
            </c:marker>
            <c:bubble3D val="0"/>
          </c:dPt>
          <c:xVal>
            <c:numRef>
              <c:f>Sheet3!$B$7:$B$11</c:f>
              <c:numCache>
                <c:formatCode>General</c:formatCode>
                <c:ptCount val="5"/>
                <c:pt idx="0">
                  <c:v>0</c:v>
                </c:pt>
                <c:pt idx="1">
                  <c:v>24</c:v>
                </c:pt>
                <c:pt idx="2">
                  <c:v>48</c:v>
                </c:pt>
                <c:pt idx="3">
                  <c:v>72</c:v>
                </c:pt>
                <c:pt idx="4">
                  <c:v>96</c:v>
                </c:pt>
              </c:numCache>
            </c:numRef>
          </c:xVal>
          <c:yVal>
            <c:numRef>
              <c:f>Sheet3!$F$7:$F$11</c:f>
              <c:numCache>
                <c:formatCode>General</c:formatCode>
                <c:ptCount val="5"/>
                <c:pt idx="0">
                  <c:v>4.45</c:v>
                </c:pt>
                <c:pt idx="1">
                  <c:v>3.71</c:v>
                </c:pt>
                <c:pt idx="2">
                  <c:v>3.68</c:v>
                </c:pt>
                <c:pt idx="3">
                  <c:v>3.74</c:v>
                </c:pt>
                <c:pt idx="4">
                  <c:v>3.76</c:v>
                </c:pt>
              </c:numCache>
            </c:numRef>
          </c:yVal>
          <c:smooth val="0"/>
        </c:ser>
        <c:dLbls>
          <c:showLegendKey val="0"/>
          <c:showVal val="0"/>
          <c:showCatName val="0"/>
          <c:showSerName val="0"/>
          <c:showPercent val="0"/>
          <c:showBubbleSize val="0"/>
        </c:dLbls>
        <c:axId val="315359088"/>
        <c:axId val="315364528"/>
      </c:scatterChart>
      <c:scatterChart>
        <c:scatterStyle val="smoothMarker"/>
        <c:varyColors val="0"/>
        <c:ser>
          <c:idx val="0"/>
          <c:order val="1"/>
          <c:tx>
            <c:v>Acid tổng số (%)</c:v>
          </c:tx>
          <c:spPr>
            <a:ln w="15875" cap="flat">
              <a:solidFill>
                <a:srgbClr val="FF66CC"/>
              </a:solidFill>
            </a:ln>
          </c:spPr>
          <c:marker>
            <c:symbol val="triangle"/>
            <c:size val="5"/>
            <c:spPr>
              <a:noFill/>
              <a:ln w="3175">
                <a:solidFill>
                  <a:schemeClr val="tx1"/>
                </a:solidFill>
              </a:ln>
            </c:spPr>
          </c:marker>
          <c:xVal>
            <c:numRef>
              <c:f>Sheet3!$B$7:$B$11</c:f>
              <c:numCache>
                <c:formatCode>General</c:formatCode>
                <c:ptCount val="5"/>
                <c:pt idx="0">
                  <c:v>0</c:v>
                </c:pt>
                <c:pt idx="1">
                  <c:v>24</c:v>
                </c:pt>
                <c:pt idx="2">
                  <c:v>48</c:v>
                </c:pt>
                <c:pt idx="3">
                  <c:v>72</c:v>
                </c:pt>
                <c:pt idx="4">
                  <c:v>96</c:v>
                </c:pt>
              </c:numCache>
            </c:numRef>
          </c:xVal>
          <c:yVal>
            <c:numRef>
              <c:f>Sheet3!$G$7:$G$11</c:f>
              <c:numCache>
                <c:formatCode>General</c:formatCode>
                <c:ptCount val="5"/>
                <c:pt idx="0">
                  <c:v>0.13100000000000001</c:v>
                </c:pt>
                <c:pt idx="1">
                  <c:v>0.32900000000000001</c:v>
                </c:pt>
                <c:pt idx="2">
                  <c:v>0.33100000000000002</c:v>
                </c:pt>
                <c:pt idx="3">
                  <c:v>0.32700000000000001</c:v>
                </c:pt>
                <c:pt idx="4">
                  <c:v>0.32500000000000001</c:v>
                </c:pt>
              </c:numCache>
            </c:numRef>
          </c:yVal>
          <c:smooth val="0"/>
        </c:ser>
        <c:dLbls>
          <c:showLegendKey val="0"/>
          <c:showVal val="0"/>
          <c:showCatName val="0"/>
          <c:showSerName val="0"/>
          <c:showPercent val="0"/>
          <c:showBubbleSize val="0"/>
        </c:dLbls>
        <c:axId val="315360176"/>
        <c:axId val="315359632"/>
      </c:scatterChart>
      <c:valAx>
        <c:axId val="315359088"/>
        <c:scaling>
          <c:orientation val="minMax"/>
          <c:max val="96"/>
        </c:scaling>
        <c:delete val="0"/>
        <c:axPos val="b"/>
        <c:numFmt formatCode="General" sourceLinked="1"/>
        <c:majorTickMark val="out"/>
        <c:minorTickMark val="none"/>
        <c:tickLblPos val="nextTo"/>
        <c:txPr>
          <a:bodyPr/>
          <a:lstStyle/>
          <a:p>
            <a:pPr>
              <a:defRPr sz="800">
                <a:latin typeface="Times New Roman" pitchFamily="18" charset="0"/>
                <a:cs typeface="Times New Roman" pitchFamily="18" charset="0"/>
              </a:defRPr>
            </a:pPr>
            <a:endParaRPr lang="en-US"/>
          </a:p>
        </c:txPr>
        <c:crossAx val="315364528"/>
        <c:crosses val="autoZero"/>
        <c:crossBetween val="midCat"/>
        <c:majorUnit val="24"/>
      </c:valAx>
      <c:valAx>
        <c:axId val="315364528"/>
        <c:scaling>
          <c:orientation val="minMax"/>
        </c:scaling>
        <c:delete val="0"/>
        <c:axPos val="l"/>
        <c:numFmt formatCode="#,##0.00" sourceLinked="0"/>
        <c:majorTickMark val="out"/>
        <c:minorTickMark val="none"/>
        <c:tickLblPos val="nextTo"/>
        <c:txPr>
          <a:bodyPr/>
          <a:lstStyle/>
          <a:p>
            <a:pPr>
              <a:defRPr sz="800">
                <a:latin typeface="Times New Roman" pitchFamily="18" charset="0"/>
                <a:cs typeface="Times New Roman" pitchFamily="18" charset="0"/>
              </a:defRPr>
            </a:pPr>
            <a:endParaRPr lang="en-US"/>
          </a:p>
        </c:txPr>
        <c:crossAx val="315359088"/>
        <c:crosses val="autoZero"/>
        <c:crossBetween val="midCat"/>
      </c:valAx>
      <c:valAx>
        <c:axId val="315359632"/>
        <c:scaling>
          <c:orientation val="minMax"/>
        </c:scaling>
        <c:delete val="0"/>
        <c:axPos val="r"/>
        <c:numFmt formatCode="#,##0.00" sourceLinked="0"/>
        <c:majorTickMark val="out"/>
        <c:minorTickMark val="none"/>
        <c:tickLblPos val="nextTo"/>
        <c:txPr>
          <a:bodyPr/>
          <a:lstStyle/>
          <a:p>
            <a:pPr>
              <a:defRPr sz="800">
                <a:latin typeface="Times New Roman" pitchFamily="18" charset="0"/>
                <a:cs typeface="Times New Roman" pitchFamily="18" charset="0"/>
              </a:defRPr>
            </a:pPr>
            <a:endParaRPr lang="en-US"/>
          </a:p>
        </c:txPr>
        <c:crossAx val="315360176"/>
        <c:crosses val="max"/>
        <c:crossBetween val="midCat"/>
      </c:valAx>
      <c:valAx>
        <c:axId val="315360176"/>
        <c:scaling>
          <c:orientation val="minMax"/>
        </c:scaling>
        <c:delete val="1"/>
        <c:axPos val="b"/>
        <c:numFmt formatCode="General" sourceLinked="1"/>
        <c:majorTickMark val="out"/>
        <c:minorTickMark val="none"/>
        <c:tickLblPos val="nextTo"/>
        <c:crossAx val="315359632"/>
        <c:crosses val="autoZero"/>
        <c:crossBetween val="midCat"/>
      </c:valAx>
      <c:spPr>
        <a:pattFill prst="pct5">
          <a:fgClr>
            <a:schemeClr val="tx1"/>
          </a:fgClr>
          <a:bgClr>
            <a:schemeClr val="bg1"/>
          </a:bgClr>
        </a:pattFill>
      </c:spPr>
    </c:plotArea>
    <c:legend>
      <c:legendPos val="r"/>
      <c:legendEntry>
        <c:idx val="1"/>
        <c:txPr>
          <a:bodyPr/>
          <a:lstStyle/>
          <a:p>
            <a:pPr>
              <a:defRPr sz="800">
                <a:latin typeface="Times New Roman" pitchFamily="18" charset="0"/>
                <a:cs typeface="Times New Roman" pitchFamily="18" charset="0"/>
              </a:defRPr>
            </a:pPr>
            <a:endParaRPr lang="en-US"/>
          </a:p>
        </c:txPr>
      </c:legendEntry>
      <c:layout>
        <c:manualLayout>
          <c:xMode val="edge"/>
          <c:yMode val="edge"/>
          <c:x val="0.73172056066765778"/>
          <c:y val="0.31019907888872383"/>
          <c:w val="0.26579073317798962"/>
          <c:h val="0.29494073871240112"/>
        </c:manualLayout>
      </c:layout>
      <c:overlay val="0"/>
      <c:txPr>
        <a:bodyPr/>
        <a:lstStyle/>
        <a:p>
          <a:pPr>
            <a:defRPr sz="8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manualLayout>
          <c:layoutTarget val="inner"/>
          <c:xMode val="edge"/>
          <c:yMode val="edge"/>
          <c:x val="0.12985136013942344"/>
          <c:y val="0.17225635583773999"/>
          <c:w val="0.54958655584053817"/>
          <c:h val="0.67018412362399715"/>
        </c:manualLayout>
      </c:layout>
      <c:scatterChart>
        <c:scatterStyle val="smoothMarker"/>
        <c:varyColors val="0"/>
        <c:ser>
          <c:idx val="0"/>
          <c:order val="0"/>
          <c:tx>
            <c:v>pH 4</c:v>
          </c:tx>
          <c:spPr>
            <a:ln w="15875">
              <a:solidFill>
                <a:srgbClr val="002060"/>
              </a:solidFill>
            </a:ln>
          </c:spPr>
          <c:marker>
            <c:symbol val="diamond"/>
            <c:size val="5"/>
            <c:spPr>
              <a:pattFill prst="dotDmnd">
                <a:fgClr>
                  <a:srgbClr val="00B050"/>
                </a:fgClr>
                <a:bgClr>
                  <a:schemeClr val="bg1"/>
                </a:bgClr>
              </a:pattFill>
            </c:spPr>
          </c:marker>
          <c:xVal>
            <c:numRef>
              <c:f>'[Chart in Microsoft Word]Sheet2'!$B$4:$B$8</c:f>
              <c:numCache>
                <c:formatCode>General</c:formatCode>
                <c:ptCount val="5"/>
                <c:pt idx="0">
                  <c:v>0</c:v>
                </c:pt>
                <c:pt idx="1">
                  <c:v>24</c:v>
                </c:pt>
                <c:pt idx="2">
                  <c:v>48</c:v>
                </c:pt>
                <c:pt idx="3">
                  <c:v>72</c:v>
                </c:pt>
                <c:pt idx="4">
                  <c:v>96</c:v>
                </c:pt>
              </c:numCache>
            </c:numRef>
          </c:xVal>
          <c:yVal>
            <c:numRef>
              <c:f>'[Chart in Microsoft Word]Sheet2'!$C$4:$C$8</c:f>
              <c:numCache>
                <c:formatCode>General</c:formatCode>
                <c:ptCount val="5"/>
                <c:pt idx="0">
                  <c:v>18</c:v>
                </c:pt>
                <c:pt idx="1">
                  <c:v>17</c:v>
                </c:pt>
                <c:pt idx="2">
                  <c:v>15.8</c:v>
                </c:pt>
                <c:pt idx="3">
                  <c:v>12.8</c:v>
                </c:pt>
                <c:pt idx="4">
                  <c:v>10</c:v>
                </c:pt>
              </c:numCache>
            </c:numRef>
          </c:yVal>
          <c:smooth val="0"/>
        </c:ser>
        <c:ser>
          <c:idx val="1"/>
          <c:order val="1"/>
          <c:tx>
            <c:v>pH 4.5</c:v>
          </c:tx>
          <c:spPr>
            <a:ln w="15875">
              <a:solidFill>
                <a:srgbClr val="FF0000"/>
              </a:solidFill>
            </a:ln>
          </c:spPr>
          <c:marker>
            <c:symbol val="square"/>
            <c:size val="3"/>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xVal>
            <c:numRef>
              <c:f>'[Chart in Microsoft Word]Sheet2'!$B$4:$B$8</c:f>
              <c:numCache>
                <c:formatCode>General</c:formatCode>
                <c:ptCount val="5"/>
                <c:pt idx="0">
                  <c:v>0</c:v>
                </c:pt>
                <c:pt idx="1">
                  <c:v>24</c:v>
                </c:pt>
                <c:pt idx="2">
                  <c:v>48</c:v>
                </c:pt>
                <c:pt idx="3">
                  <c:v>72</c:v>
                </c:pt>
                <c:pt idx="4">
                  <c:v>96</c:v>
                </c:pt>
              </c:numCache>
            </c:numRef>
          </c:xVal>
          <c:yVal>
            <c:numRef>
              <c:f>'[Chart in Microsoft Word]Sheet2'!$D$4:$D$8</c:f>
              <c:numCache>
                <c:formatCode>General</c:formatCode>
                <c:ptCount val="5"/>
                <c:pt idx="0">
                  <c:v>18</c:v>
                </c:pt>
                <c:pt idx="1">
                  <c:v>15</c:v>
                </c:pt>
                <c:pt idx="2">
                  <c:v>10.8</c:v>
                </c:pt>
                <c:pt idx="3">
                  <c:v>7</c:v>
                </c:pt>
                <c:pt idx="4">
                  <c:v>4</c:v>
                </c:pt>
              </c:numCache>
            </c:numRef>
          </c:yVal>
          <c:smooth val="1"/>
        </c:ser>
        <c:ser>
          <c:idx val="2"/>
          <c:order val="2"/>
          <c:tx>
            <c:v>pH 5</c:v>
          </c:tx>
          <c:spPr>
            <a:ln w="15875">
              <a:solidFill>
                <a:srgbClr val="FFC000"/>
              </a:solidFill>
            </a:ln>
          </c:spPr>
          <c:marker>
            <c:symbol val="triangle"/>
            <c:size val="5"/>
            <c:spPr>
              <a:ln>
                <a:solidFill>
                  <a:srgbClr val="00B050"/>
                </a:solidFill>
              </a:ln>
            </c:spPr>
          </c:marker>
          <c:dPt>
            <c:idx val="3"/>
            <c:bubble3D val="0"/>
          </c:dPt>
          <c:dPt>
            <c:idx val="4"/>
            <c:bubble3D val="0"/>
          </c:dPt>
          <c:xVal>
            <c:numRef>
              <c:f>'[Chart in Microsoft Word]Sheet2'!$B$4:$B$8</c:f>
              <c:numCache>
                <c:formatCode>General</c:formatCode>
                <c:ptCount val="5"/>
                <c:pt idx="0">
                  <c:v>0</c:v>
                </c:pt>
                <c:pt idx="1">
                  <c:v>24</c:v>
                </c:pt>
                <c:pt idx="2">
                  <c:v>48</c:v>
                </c:pt>
                <c:pt idx="3">
                  <c:v>72</c:v>
                </c:pt>
                <c:pt idx="4">
                  <c:v>96</c:v>
                </c:pt>
              </c:numCache>
            </c:numRef>
          </c:xVal>
          <c:yVal>
            <c:numRef>
              <c:f>'[Chart in Microsoft Word]Sheet2'!$E$4:$E$8</c:f>
              <c:numCache>
                <c:formatCode>General</c:formatCode>
                <c:ptCount val="5"/>
                <c:pt idx="0">
                  <c:v>18</c:v>
                </c:pt>
                <c:pt idx="1">
                  <c:v>15</c:v>
                </c:pt>
                <c:pt idx="2">
                  <c:v>11.3</c:v>
                </c:pt>
                <c:pt idx="3">
                  <c:v>7.6</c:v>
                </c:pt>
                <c:pt idx="4">
                  <c:v>5</c:v>
                </c:pt>
              </c:numCache>
            </c:numRef>
          </c:yVal>
          <c:smooth val="0"/>
        </c:ser>
        <c:ser>
          <c:idx val="4"/>
          <c:order val="3"/>
          <c:tx>
            <c:v>pH 6</c:v>
          </c:tx>
          <c:spPr>
            <a:ln w="15875">
              <a:solidFill>
                <a:srgbClr val="009900"/>
              </a:solidFill>
            </a:ln>
          </c:spPr>
          <c:marker>
            <c:symbol val="plus"/>
            <c:size val="7"/>
            <c:spPr>
              <a:ln>
                <a:solidFill>
                  <a:srgbClr val="002060"/>
                </a:solidFill>
              </a:ln>
            </c:spPr>
          </c:marker>
          <c:xVal>
            <c:numRef>
              <c:f>'[Chart in Microsoft Word]Sheet2'!$B$4:$B$8</c:f>
              <c:numCache>
                <c:formatCode>General</c:formatCode>
                <c:ptCount val="5"/>
                <c:pt idx="0">
                  <c:v>0</c:v>
                </c:pt>
                <c:pt idx="1">
                  <c:v>24</c:v>
                </c:pt>
                <c:pt idx="2">
                  <c:v>48</c:v>
                </c:pt>
                <c:pt idx="3">
                  <c:v>72</c:v>
                </c:pt>
                <c:pt idx="4">
                  <c:v>96</c:v>
                </c:pt>
              </c:numCache>
            </c:numRef>
          </c:xVal>
          <c:yVal>
            <c:numRef>
              <c:f>'[Chart in Microsoft Word]Sheet2'!$G$4:$G$8</c:f>
              <c:numCache>
                <c:formatCode>General</c:formatCode>
                <c:ptCount val="5"/>
                <c:pt idx="0">
                  <c:v>18</c:v>
                </c:pt>
                <c:pt idx="1">
                  <c:v>14.8</c:v>
                </c:pt>
                <c:pt idx="2">
                  <c:v>11.3</c:v>
                </c:pt>
                <c:pt idx="3">
                  <c:v>8.8000000000000007</c:v>
                </c:pt>
                <c:pt idx="4">
                  <c:v>5.8</c:v>
                </c:pt>
              </c:numCache>
            </c:numRef>
          </c:yVal>
          <c:smooth val="0"/>
        </c:ser>
        <c:ser>
          <c:idx val="3"/>
          <c:order val="4"/>
          <c:tx>
            <c:v>pH 5.5</c:v>
          </c:tx>
          <c:spPr>
            <a:ln w="15875">
              <a:solidFill>
                <a:srgbClr val="00B0F0"/>
              </a:solidFill>
            </a:ln>
          </c:spPr>
          <c:marker>
            <c:symbol val="square"/>
            <c:size val="4"/>
            <c:spPr>
              <a:solidFill>
                <a:srgbClr val="7030A0"/>
              </a:solidFill>
            </c:spPr>
          </c:marker>
          <c:xVal>
            <c:numRef>
              <c:f>'[Chart in Microsoft Word]Sheet2'!$B$4:$B$8</c:f>
              <c:numCache>
                <c:formatCode>General</c:formatCode>
                <c:ptCount val="5"/>
                <c:pt idx="0">
                  <c:v>0</c:v>
                </c:pt>
                <c:pt idx="1">
                  <c:v>24</c:v>
                </c:pt>
                <c:pt idx="2">
                  <c:v>48</c:v>
                </c:pt>
                <c:pt idx="3">
                  <c:v>72</c:v>
                </c:pt>
                <c:pt idx="4">
                  <c:v>96</c:v>
                </c:pt>
              </c:numCache>
            </c:numRef>
          </c:xVal>
          <c:yVal>
            <c:numRef>
              <c:f>'[Chart in Microsoft Word]Sheet2'!$F$4:$F$8</c:f>
              <c:numCache>
                <c:formatCode>General</c:formatCode>
                <c:ptCount val="5"/>
                <c:pt idx="0">
                  <c:v>18</c:v>
                </c:pt>
                <c:pt idx="1">
                  <c:v>17.2</c:v>
                </c:pt>
                <c:pt idx="2">
                  <c:v>17</c:v>
                </c:pt>
                <c:pt idx="3">
                  <c:v>16.8</c:v>
                </c:pt>
                <c:pt idx="4">
                  <c:v>16.3</c:v>
                </c:pt>
              </c:numCache>
            </c:numRef>
          </c:yVal>
          <c:smooth val="0"/>
        </c:ser>
        <c:ser>
          <c:idx val="5"/>
          <c:order val="5"/>
          <c:tx>
            <c:v>pH 7.93</c:v>
          </c:tx>
          <c:spPr>
            <a:ln w="15875">
              <a:solidFill>
                <a:srgbClr val="0000FF"/>
              </a:solidFill>
            </a:ln>
          </c:spPr>
          <c:marker>
            <c:symbol val="circle"/>
            <c:size val="5"/>
            <c:spPr>
              <a:pattFill prst="pct5">
                <a:fgClr>
                  <a:schemeClr val="tx1"/>
                </a:fgClr>
                <a:bgClr>
                  <a:schemeClr val="bg1"/>
                </a:bgClr>
              </a:pattFill>
              <a:ln>
                <a:solidFill>
                  <a:srgbClr val="3366CC"/>
                </a:solidFill>
              </a:ln>
            </c:spPr>
          </c:marker>
          <c:dPt>
            <c:idx val="2"/>
            <c:bubble3D val="0"/>
          </c:dPt>
          <c:dPt>
            <c:idx val="3"/>
            <c:bubble3D val="0"/>
          </c:dPt>
          <c:dPt>
            <c:idx val="4"/>
            <c:bubble3D val="0"/>
          </c:dPt>
          <c:xVal>
            <c:numRef>
              <c:f>'[Chart in Microsoft Word]Sheet2'!$B$4:$B$8</c:f>
              <c:numCache>
                <c:formatCode>General</c:formatCode>
                <c:ptCount val="5"/>
                <c:pt idx="0">
                  <c:v>0</c:v>
                </c:pt>
                <c:pt idx="1">
                  <c:v>24</c:v>
                </c:pt>
                <c:pt idx="2">
                  <c:v>48</c:v>
                </c:pt>
                <c:pt idx="3">
                  <c:v>72</c:v>
                </c:pt>
                <c:pt idx="4">
                  <c:v>96</c:v>
                </c:pt>
              </c:numCache>
            </c:numRef>
          </c:xVal>
          <c:yVal>
            <c:numRef>
              <c:f>'[Chart in Microsoft Word]Sheet2'!$H$4:$H$8</c:f>
              <c:numCache>
                <c:formatCode>General</c:formatCode>
                <c:ptCount val="5"/>
                <c:pt idx="0">
                  <c:v>18</c:v>
                </c:pt>
                <c:pt idx="1">
                  <c:v>14.6</c:v>
                </c:pt>
                <c:pt idx="2">
                  <c:v>8.6</c:v>
                </c:pt>
                <c:pt idx="3">
                  <c:v>7.8</c:v>
                </c:pt>
                <c:pt idx="4">
                  <c:v>5</c:v>
                </c:pt>
              </c:numCache>
            </c:numRef>
          </c:yVal>
          <c:smooth val="0"/>
        </c:ser>
        <c:dLbls>
          <c:showLegendKey val="0"/>
          <c:showVal val="0"/>
          <c:showCatName val="0"/>
          <c:showSerName val="0"/>
          <c:showPercent val="0"/>
          <c:showBubbleSize val="0"/>
        </c:dLbls>
        <c:axId val="315360720"/>
        <c:axId val="315361264"/>
      </c:scatterChart>
      <c:valAx>
        <c:axId val="315360720"/>
        <c:scaling>
          <c:orientation val="minMax"/>
          <c:max val="96"/>
          <c:min val="0"/>
        </c:scaling>
        <c:delete val="0"/>
        <c:axPos val="b"/>
        <c:numFmt formatCode="General" sourceLinked="1"/>
        <c:majorTickMark val="out"/>
        <c:minorTickMark val="none"/>
        <c:tickLblPos val="nextTo"/>
        <c:txPr>
          <a:bodyPr/>
          <a:lstStyle/>
          <a:p>
            <a:pPr>
              <a:defRPr sz="800">
                <a:latin typeface="Times New Roman" pitchFamily="18" charset="0"/>
                <a:cs typeface="Times New Roman" pitchFamily="18" charset="0"/>
              </a:defRPr>
            </a:pPr>
            <a:endParaRPr lang="en-US"/>
          </a:p>
        </c:txPr>
        <c:crossAx val="315361264"/>
        <c:crosses val="autoZero"/>
        <c:crossBetween val="midCat"/>
        <c:majorUnit val="24"/>
      </c:valAx>
      <c:valAx>
        <c:axId val="315361264"/>
        <c:scaling>
          <c:orientation val="minMax"/>
        </c:scaling>
        <c:delete val="0"/>
        <c:axPos val="l"/>
        <c:numFmt formatCode="#,##0.00" sourceLinked="0"/>
        <c:majorTickMark val="out"/>
        <c:minorTickMark val="none"/>
        <c:tickLblPos val="nextTo"/>
        <c:txPr>
          <a:bodyPr/>
          <a:lstStyle/>
          <a:p>
            <a:pPr>
              <a:defRPr sz="800">
                <a:latin typeface="Times New Roman" pitchFamily="18" charset="0"/>
                <a:cs typeface="Times New Roman" pitchFamily="18" charset="0"/>
              </a:defRPr>
            </a:pPr>
            <a:endParaRPr lang="en-US"/>
          </a:p>
        </c:txPr>
        <c:crossAx val="315360720"/>
        <c:crosses val="autoZero"/>
        <c:crossBetween val="midCat"/>
      </c:valAx>
      <c:spPr>
        <a:pattFill prst="pct5">
          <a:fgClr>
            <a:schemeClr val="tx1"/>
          </a:fgClr>
          <a:bgClr>
            <a:schemeClr val="bg1"/>
          </a:bgClr>
        </a:pattFill>
      </c:spPr>
    </c:plotArea>
    <c:legend>
      <c:legendPos val="r"/>
      <c:layout>
        <c:manualLayout>
          <c:xMode val="edge"/>
          <c:yMode val="edge"/>
          <c:x val="0.70790770879667153"/>
          <c:y val="0.17632266521611187"/>
          <c:w val="0.26910425610169592"/>
          <c:h val="0.59813667562221817"/>
        </c:manualLayout>
      </c:layout>
      <c:overlay val="0"/>
      <c:txPr>
        <a:bodyPr/>
        <a:lstStyle/>
        <a:p>
          <a:pPr>
            <a:defRPr sz="800">
              <a:latin typeface="Times New Roman" pitchFamily="18" charset="0"/>
              <a:cs typeface="Times New Roman" pitchFamily="18" charset="0"/>
            </a:defRPr>
          </a:pPr>
          <a:endParaRPr lang="en-US"/>
        </a:p>
      </c:txPr>
    </c:legend>
    <c:plotVisOnly val="1"/>
    <c:dispBlanksAs val="gap"/>
    <c:showDLblsOverMax val="0"/>
  </c:chart>
  <c:spPr>
    <a:ln>
      <a:noFill/>
      <a:prstDash val="sysDash"/>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10977034661404"/>
          <c:y val="0.10708245490442782"/>
          <c:w val="0.52205202089705338"/>
          <c:h val="0.71840346467091087"/>
        </c:manualLayout>
      </c:layout>
      <c:scatterChart>
        <c:scatterStyle val="smoothMarker"/>
        <c:varyColors val="0"/>
        <c:ser>
          <c:idx val="0"/>
          <c:order val="0"/>
          <c:tx>
            <c:v>pH  4</c:v>
          </c:tx>
          <c:spPr>
            <a:ln w="15875">
              <a:solidFill>
                <a:srgbClr val="00FF00"/>
              </a:solidFill>
            </a:ln>
          </c:spPr>
          <c:marker>
            <c:symbol val="diamond"/>
            <c:size val="4"/>
          </c:marker>
          <c:xVal>
            <c:numRef>
              <c:f>'[Chart in Microsoft Word]Sheet4'!$A$27:$A$31</c:f>
              <c:numCache>
                <c:formatCode>General</c:formatCode>
                <c:ptCount val="5"/>
                <c:pt idx="0">
                  <c:v>0</c:v>
                </c:pt>
                <c:pt idx="1">
                  <c:v>24</c:v>
                </c:pt>
                <c:pt idx="2">
                  <c:v>48</c:v>
                </c:pt>
                <c:pt idx="3">
                  <c:v>72</c:v>
                </c:pt>
                <c:pt idx="4">
                  <c:v>96</c:v>
                </c:pt>
              </c:numCache>
            </c:numRef>
          </c:xVal>
          <c:yVal>
            <c:numRef>
              <c:f>'[Chart in Microsoft Word]Sheet4'!$B$27:$B$31</c:f>
              <c:numCache>
                <c:formatCode>General</c:formatCode>
                <c:ptCount val="5"/>
                <c:pt idx="0">
                  <c:v>4</c:v>
                </c:pt>
                <c:pt idx="1">
                  <c:v>3.99</c:v>
                </c:pt>
                <c:pt idx="2">
                  <c:v>3.97</c:v>
                </c:pt>
                <c:pt idx="3">
                  <c:v>3.95</c:v>
                </c:pt>
                <c:pt idx="4">
                  <c:v>3.76</c:v>
                </c:pt>
              </c:numCache>
            </c:numRef>
          </c:yVal>
          <c:smooth val="0"/>
        </c:ser>
        <c:ser>
          <c:idx val="1"/>
          <c:order val="1"/>
          <c:tx>
            <c:v>pH 4,5</c:v>
          </c:tx>
          <c:spPr>
            <a:ln w="15875">
              <a:solidFill>
                <a:srgbClr val="FF0000"/>
              </a:solidFill>
            </a:ln>
          </c:spPr>
          <c:marker>
            <c:symbol val="square"/>
            <c:size val="3"/>
          </c:marker>
          <c:xVal>
            <c:numRef>
              <c:f>'[Chart in Microsoft Word]Sheet4'!$A$27:$A$31</c:f>
              <c:numCache>
                <c:formatCode>General</c:formatCode>
                <c:ptCount val="5"/>
                <c:pt idx="0">
                  <c:v>0</c:v>
                </c:pt>
                <c:pt idx="1">
                  <c:v>24</c:v>
                </c:pt>
                <c:pt idx="2">
                  <c:v>48</c:v>
                </c:pt>
                <c:pt idx="3">
                  <c:v>72</c:v>
                </c:pt>
                <c:pt idx="4">
                  <c:v>96</c:v>
                </c:pt>
              </c:numCache>
            </c:numRef>
          </c:xVal>
          <c:yVal>
            <c:numRef>
              <c:f>'[Chart in Microsoft Word]Sheet4'!$C$27:$C$31</c:f>
              <c:numCache>
                <c:formatCode>General</c:formatCode>
                <c:ptCount val="5"/>
                <c:pt idx="0">
                  <c:v>4.5</c:v>
                </c:pt>
                <c:pt idx="1">
                  <c:v>3.72</c:v>
                </c:pt>
                <c:pt idx="2">
                  <c:v>3.67</c:v>
                </c:pt>
                <c:pt idx="3">
                  <c:v>3.75</c:v>
                </c:pt>
                <c:pt idx="4">
                  <c:v>3.77</c:v>
                </c:pt>
              </c:numCache>
            </c:numRef>
          </c:yVal>
          <c:smooth val="0"/>
        </c:ser>
        <c:ser>
          <c:idx val="2"/>
          <c:order val="2"/>
          <c:tx>
            <c:v>pH 5</c:v>
          </c:tx>
          <c:spPr>
            <a:ln w="15875">
              <a:solidFill>
                <a:srgbClr val="0000FF"/>
              </a:solidFill>
            </a:ln>
          </c:spPr>
          <c:marker>
            <c:symbol val="triangle"/>
            <c:size val="4"/>
          </c:marker>
          <c:xVal>
            <c:numRef>
              <c:f>'[Chart in Microsoft Word]Sheet4'!$A$27:$A$31</c:f>
              <c:numCache>
                <c:formatCode>General</c:formatCode>
                <c:ptCount val="5"/>
                <c:pt idx="0">
                  <c:v>0</c:v>
                </c:pt>
                <c:pt idx="1">
                  <c:v>24</c:v>
                </c:pt>
                <c:pt idx="2">
                  <c:v>48</c:v>
                </c:pt>
                <c:pt idx="3">
                  <c:v>72</c:v>
                </c:pt>
                <c:pt idx="4">
                  <c:v>96</c:v>
                </c:pt>
              </c:numCache>
            </c:numRef>
          </c:xVal>
          <c:yVal>
            <c:numRef>
              <c:f>'[Chart in Microsoft Word]Sheet4'!$D$27:$D$31</c:f>
              <c:numCache>
                <c:formatCode>General</c:formatCode>
                <c:ptCount val="5"/>
                <c:pt idx="0">
                  <c:v>5</c:v>
                </c:pt>
                <c:pt idx="1">
                  <c:v>4.7699999999999996</c:v>
                </c:pt>
                <c:pt idx="2">
                  <c:v>4.5599999999999996</c:v>
                </c:pt>
                <c:pt idx="3">
                  <c:v>4.45</c:v>
                </c:pt>
                <c:pt idx="4">
                  <c:v>4.49</c:v>
                </c:pt>
              </c:numCache>
            </c:numRef>
          </c:yVal>
          <c:smooth val="0"/>
        </c:ser>
        <c:ser>
          <c:idx val="3"/>
          <c:order val="3"/>
          <c:tx>
            <c:v>pH 5,5</c:v>
          </c:tx>
          <c:spPr>
            <a:ln w="15875">
              <a:solidFill>
                <a:srgbClr val="00FFFF"/>
              </a:solidFill>
            </a:ln>
          </c:spPr>
          <c:marker>
            <c:symbol val="star"/>
            <c:size val="4"/>
            <c:spPr>
              <a:solidFill>
                <a:schemeClr val="tx1"/>
              </a:solidFill>
            </c:spPr>
          </c:marker>
          <c:xVal>
            <c:numRef>
              <c:f>'[Chart in Microsoft Word]Sheet4'!$A$27:$A$31</c:f>
              <c:numCache>
                <c:formatCode>General</c:formatCode>
                <c:ptCount val="5"/>
                <c:pt idx="0">
                  <c:v>0</c:v>
                </c:pt>
                <c:pt idx="1">
                  <c:v>24</c:v>
                </c:pt>
                <c:pt idx="2">
                  <c:v>48</c:v>
                </c:pt>
                <c:pt idx="3">
                  <c:v>72</c:v>
                </c:pt>
                <c:pt idx="4">
                  <c:v>96</c:v>
                </c:pt>
              </c:numCache>
            </c:numRef>
          </c:xVal>
          <c:yVal>
            <c:numRef>
              <c:f>'[Chart in Microsoft Word]Sheet4'!$E$27:$E$31</c:f>
              <c:numCache>
                <c:formatCode>General</c:formatCode>
                <c:ptCount val="5"/>
                <c:pt idx="0">
                  <c:v>5.5</c:v>
                </c:pt>
                <c:pt idx="1">
                  <c:v>5.35</c:v>
                </c:pt>
                <c:pt idx="2">
                  <c:v>5.3</c:v>
                </c:pt>
                <c:pt idx="3">
                  <c:v>5.19</c:v>
                </c:pt>
                <c:pt idx="4">
                  <c:v>5.15</c:v>
                </c:pt>
              </c:numCache>
            </c:numRef>
          </c:yVal>
          <c:smooth val="1"/>
        </c:ser>
        <c:ser>
          <c:idx val="4"/>
          <c:order val="4"/>
          <c:tx>
            <c:v>pH  6</c:v>
          </c:tx>
          <c:spPr>
            <a:ln w="15875">
              <a:solidFill>
                <a:srgbClr val="002060"/>
              </a:solidFill>
            </a:ln>
          </c:spPr>
          <c:marker>
            <c:symbol val="star"/>
            <c:size val="4"/>
          </c:marker>
          <c:xVal>
            <c:numRef>
              <c:f>'[Chart in Microsoft Word]Sheet4'!$A$27:$A$31</c:f>
              <c:numCache>
                <c:formatCode>General</c:formatCode>
                <c:ptCount val="5"/>
                <c:pt idx="0">
                  <c:v>0</c:v>
                </c:pt>
                <c:pt idx="1">
                  <c:v>24</c:v>
                </c:pt>
                <c:pt idx="2">
                  <c:v>48</c:v>
                </c:pt>
                <c:pt idx="3">
                  <c:v>72</c:v>
                </c:pt>
                <c:pt idx="4">
                  <c:v>96</c:v>
                </c:pt>
              </c:numCache>
            </c:numRef>
          </c:xVal>
          <c:yVal>
            <c:numRef>
              <c:f>'[Chart in Microsoft Word]Sheet4'!$F$27:$F$31</c:f>
              <c:numCache>
                <c:formatCode>General</c:formatCode>
                <c:ptCount val="5"/>
                <c:pt idx="0">
                  <c:v>6</c:v>
                </c:pt>
                <c:pt idx="1">
                  <c:v>5.31</c:v>
                </c:pt>
                <c:pt idx="2">
                  <c:v>5.03</c:v>
                </c:pt>
                <c:pt idx="3">
                  <c:v>4.8899999999999997</c:v>
                </c:pt>
                <c:pt idx="4">
                  <c:v>4.87</c:v>
                </c:pt>
              </c:numCache>
            </c:numRef>
          </c:yVal>
          <c:smooth val="1"/>
        </c:ser>
        <c:ser>
          <c:idx val="5"/>
          <c:order val="5"/>
          <c:tx>
            <c:v>pH 7,93</c:v>
          </c:tx>
          <c:spPr>
            <a:ln w="15875">
              <a:solidFill>
                <a:srgbClr val="FFC000"/>
              </a:solidFill>
            </a:ln>
          </c:spPr>
          <c:marker>
            <c:symbol val="circle"/>
            <c:size val="4"/>
          </c:marker>
          <c:xVal>
            <c:numRef>
              <c:f>'[Chart in Microsoft Word]Sheet4'!$A$27:$A$31</c:f>
              <c:numCache>
                <c:formatCode>General</c:formatCode>
                <c:ptCount val="5"/>
                <c:pt idx="0">
                  <c:v>0</c:v>
                </c:pt>
                <c:pt idx="1">
                  <c:v>24</c:v>
                </c:pt>
                <c:pt idx="2">
                  <c:v>48</c:v>
                </c:pt>
                <c:pt idx="3">
                  <c:v>72</c:v>
                </c:pt>
                <c:pt idx="4">
                  <c:v>96</c:v>
                </c:pt>
              </c:numCache>
            </c:numRef>
          </c:xVal>
          <c:yVal>
            <c:numRef>
              <c:f>'[Chart in Microsoft Word]Sheet4'!$G$27:$G$31</c:f>
              <c:numCache>
                <c:formatCode>General</c:formatCode>
                <c:ptCount val="5"/>
                <c:pt idx="0">
                  <c:v>7.93</c:v>
                </c:pt>
                <c:pt idx="1">
                  <c:v>4.01</c:v>
                </c:pt>
                <c:pt idx="2">
                  <c:v>3.84</c:v>
                </c:pt>
                <c:pt idx="3">
                  <c:v>3.98</c:v>
                </c:pt>
                <c:pt idx="4">
                  <c:v>4.09</c:v>
                </c:pt>
              </c:numCache>
            </c:numRef>
          </c:yVal>
          <c:smooth val="0"/>
        </c:ser>
        <c:dLbls>
          <c:showLegendKey val="0"/>
          <c:showVal val="0"/>
          <c:showCatName val="0"/>
          <c:showSerName val="0"/>
          <c:showPercent val="0"/>
          <c:showBubbleSize val="0"/>
        </c:dLbls>
        <c:axId val="315365616"/>
        <c:axId val="222357136"/>
      </c:scatterChart>
      <c:valAx>
        <c:axId val="315365616"/>
        <c:scaling>
          <c:orientation val="minMax"/>
          <c:max val="96"/>
        </c:scaling>
        <c:delete val="0"/>
        <c:axPos val="b"/>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en-US"/>
          </a:p>
        </c:txPr>
        <c:crossAx val="222357136"/>
        <c:crosses val="autoZero"/>
        <c:crossBetween val="midCat"/>
        <c:majorUnit val="24"/>
      </c:valAx>
      <c:valAx>
        <c:axId val="222357136"/>
        <c:scaling>
          <c:orientation val="minMax"/>
          <c:max val="8"/>
        </c:scaling>
        <c:delete val="0"/>
        <c:axPos val="l"/>
        <c:numFmt formatCode="#,##0.00" sourceLinked="0"/>
        <c:majorTickMark val="out"/>
        <c:minorTickMark val="none"/>
        <c:tickLblPos val="nextTo"/>
        <c:txPr>
          <a:bodyPr/>
          <a:lstStyle/>
          <a:p>
            <a:pPr>
              <a:defRPr sz="1000">
                <a:latin typeface="Times New Roman" pitchFamily="18" charset="0"/>
                <a:cs typeface="Times New Roman" pitchFamily="18" charset="0"/>
              </a:defRPr>
            </a:pPr>
            <a:endParaRPr lang="en-US"/>
          </a:p>
        </c:txPr>
        <c:crossAx val="315365616"/>
        <c:crosses val="autoZero"/>
        <c:crossBetween val="midCat"/>
        <c:majorUnit val="1"/>
      </c:valAx>
      <c:spPr>
        <a:pattFill prst="pct5">
          <a:fgClr>
            <a:schemeClr val="accent1"/>
          </a:fgClr>
          <a:bgClr>
            <a:schemeClr val="bg1"/>
          </a:bgClr>
        </a:pattFill>
        <a:ln w="25400"/>
      </c:spPr>
    </c:plotArea>
    <c:legend>
      <c:legendPos val="r"/>
      <c:layout>
        <c:manualLayout>
          <c:xMode val="edge"/>
          <c:yMode val="edge"/>
          <c:x val="0.70654784746033639"/>
          <c:y val="9.9566060142858029E-2"/>
          <c:w val="0.26374456677372904"/>
          <c:h val="0.72324144633977994"/>
        </c:manualLayout>
      </c:layout>
      <c:overlay val="0"/>
      <c:txPr>
        <a:bodyPr/>
        <a:lstStyle/>
        <a:p>
          <a:pPr>
            <a:defRPr sz="8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10748325353694"/>
          <c:y val="0.24989688480855768"/>
          <c:w val="0.57030583602952178"/>
          <c:h val="0.62112658198369308"/>
        </c:manualLayout>
      </c:layout>
      <c:scatterChart>
        <c:scatterStyle val="smoothMarker"/>
        <c:varyColors val="0"/>
        <c:ser>
          <c:idx val="0"/>
          <c:order val="0"/>
          <c:tx>
            <c:v>pH  4</c:v>
          </c:tx>
          <c:spPr>
            <a:ln w="15875">
              <a:solidFill>
                <a:srgbClr val="00B0F0"/>
              </a:solidFill>
            </a:ln>
          </c:spPr>
          <c:xVal>
            <c:numRef>
              <c:f>'[Chart in Microsoft Word]Sheet4'!$A$35:$A$39</c:f>
              <c:numCache>
                <c:formatCode>General</c:formatCode>
                <c:ptCount val="5"/>
                <c:pt idx="0">
                  <c:v>0</c:v>
                </c:pt>
                <c:pt idx="1">
                  <c:v>24</c:v>
                </c:pt>
                <c:pt idx="2">
                  <c:v>48</c:v>
                </c:pt>
                <c:pt idx="3">
                  <c:v>72</c:v>
                </c:pt>
                <c:pt idx="4">
                  <c:v>96</c:v>
                </c:pt>
              </c:numCache>
            </c:numRef>
          </c:xVal>
          <c:yVal>
            <c:numRef>
              <c:f>'[Chart in Microsoft Word]Sheet4'!$B$35:$B$39</c:f>
              <c:numCache>
                <c:formatCode>General</c:formatCode>
                <c:ptCount val="5"/>
                <c:pt idx="0">
                  <c:v>0.19400000000000001</c:v>
                </c:pt>
                <c:pt idx="1">
                  <c:v>0.253</c:v>
                </c:pt>
                <c:pt idx="2">
                  <c:v>0.255</c:v>
                </c:pt>
                <c:pt idx="3">
                  <c:v>0.25700000000000001</c:v>
                </c:pt>
                <c:pt idx="4">
                  <c:v>0.26700000000000002</c:v>
                </c:pt>
              </c:numCache>
            </c:numRef>
          </c:yVal>
          <c:smooth val="0"/>
        </c:ser>
        <c:ser>
          <c:idx val="1"/>
          <c:order val="1"/>
          <c:tx>
            <c:v>pH  4,5</c:v>
          </c:tx>
          <c:spPr>
            <a:ln w="15875">
              <a:solidFill>
                <a:srgbClr val="FF0000"/>
              </a:solidFill>
            </a:ln>
          </c:spPr>
          <c:marker>
            <c:symbol val="square"/>
            <c:size val="4"/>
          </c:marker>
          <c:xVal>
            <c:numRef>
              <c:f>'[Chart in Microsoft Word]Sheet4'!$A$35:$A$39</c:f>
              <c:numCache>
                <c:formatCode>General</c:formatCode>
                <c:ptCount val="5"/>
                <c:pt idx="0">
                  <c:v>0</c:v>
                </c:pt>
                <c:pt idx="1">
                  <c:v>24</c:v>
                </c:pt>
                <c:pt idx="2">
                  <c:v>48</c:v>
                </c:pt>
                <c:pt idx="3">
                  <c:v>72</c:v>
                </c:pt>
                <c:pt idx="4">
                  <c:v>96</c:v>
                </c:pt>
              </c:numCache>
            </c:numRef>
          </c:xVal>
          <c:yVal>
            <c:numRef>
              <c:f>'[Chart in Microsoft Word]Sheet4'!$C$35:$C$39</c:f>
              <c:numCache>
                <c:formatCode>General</c:formatCode>
                <c:ptCount val="5"/>
                <c:pt idx="0">
                  <c:v>0.28699999999999998</c:v>
                </c:pt>
                <c:pt idx="1">
                  <c:v>0.32800000000000001</c:v>
                </c:pt>
                <c:pt idx="2">
                  <c:v>0.33</c:v>
                </c:pt>
                <c:pt idx="3">
                  <c:v>0.32600000000000001</c:v>
                </c:pt>
                <c:pt idx="4">
                  <c:v>0.32400000000000001</c:v>
                </c:pt>
              </c:numCache>
            </c:numRef>
          </c:yVal>
          <c:smooth val="0"/>
        </c:ser>
        <c:ser>
          <c:idx val="2"/>
          <c:order val="2"/>
          <c:tx>
            <c:v>pH  5</c:v>
          </c:tx>
          <c:spPr>
            <a:ln w="15875">
              <a:solidFill>
                <a:srgbClr val="00B050"/>
              </a:solidFill>
            </a:ln>
          </c:spPr>
          <c:marker>
            <c:symbol val="triangle"/>
            <c:size val="3"/>
            <c:spPr>
              <a:ln w="25400"/>
            </c:spPr>
          </c:marker>
          <c:xVal>
            <c:numRef>
              <c:f>'[Chart in Microsoft Word]Sheet4'!$A$35:$A$39</c:f>
              <c:numCache>
                <c:formatCode>General</c:formatCode>
                <c:ptCount val="5"/>
                <c:pt idx="0">
                  <c:v>0</c:v>
                </c:pt>
                <c:pt idx="1">
                  <c:v>24</c:v>
                </c:pt>
                <c:pt idx="2">
                  <c:v>48</c:v>
                </c:pt>
                <c:pt idx="3">
                  <c:v>72</c:v>
                </c:pt>
                <c:pt idx="4">
                  <c:v>96</c:v>
                </c:pt>
              </c:numCache>
            </c:numRef>
          </c:xVal>
          <c:yVal>
            <c:numRef>
              <c:f>'[Chart in Microsoft Word]Sheet4'!$D$35:$D$39</c:f>
              <c:numCache>
                <c:formatCode>General</c:formatCode>
                <c:ptCount val="5"/>
                <c:pt idx="0">
                  <c:v>0.215</c:v>
                </c:pt>
                <c:pt idx="1">
                  <c:v>0.224</c:v>
                </c:pt>
                <c:pt idx="2">
                  <c:v>0.23200000000000001</c:v>
                </c:pt>
                <c:pt idx="3">
                  <c:v>0.23799999999999999</c:v>
                </c:pt>
                <c:pt idx="4">
                  <c:v>0.23499999999999999</c:v>
                </c:pt>
              </c:numCache>
            </c:numRef>
          </c:yVal>
          <c:smooth val="0"/>
        </c:ser>
        <c:ser>
          <c:idx val="3"/>
          <c:order val="3"/>
          <c:tx>
            <c:v>pH  5,5</c:v>
          </c:tx>
          <c:spPr>
            <a:ln w="15875">
              <a:solidFill>
                <a:srgbClr val="00FFFF"/>
              </a:solidFill>
            </a:ln>
          </c:spPr>
          <c:marker>
            <c:spPr>
              <a:ln>
                <a:solidFill>
                  <a:schemeClr val="tx1"/>
                </a:solidFill>
              </a:ln>
            </c:spPr>
          </c:marker>
          <c:xVal>
            <c:numRef>
              <c:f>'[Chart in Microsoft Word]Sheet4'!$A$35:$A$39</c:f>
              <c:numCache>
                <c:formatCode>General</c:formatCode>
                <c:ptCount val="5"/>
                <c:pt idx="0">
                  <c:v>0</c:v>
                </c:pt>
                <c:pt idx="1">
                  <c:v>24</c:v>
                </c:pt>
                <c:pt idx="2">
                  <c:v>48</c:v>
                </c:pt>
                <c:pt idx="3">
                  <c:v>72</c:v>
                </c:pt>
                <c:pt idx="4">
                  <c:v>96</c:v>
                </c:pt>
              </c:numCache>
            </c:numRef>
          </c:xVal>
          <c:yVal>
            <c:numRef>
              <c:f>'[Chart in Microsoft Word]Sheet4'!$E$35:$E$39</c:f>
              <c:numCache>
                <c:formatCode>General</c:formatCode>
                <c:ptCount val="5"/>
                <c:pt idx="0">
                  <c:v>0.17299999999999999</c:v>
                </c:pt>
                <c:pt idx="1">
                  <c:v>0.17799999999999999</c:v>
                </c:pt>
                <c:pt idx="2">
                  <c:v>0.184</c:v>
                </c:pt>
                <c:pt idx="3">
                  <c:v>0.193</c:v>
                </c:pt>
                <c:pt idx="4">
                  <c:v>0.19700000000000001</c:v>
                </c:pt>
              </c:numCache>
            </c:numRef>
          </c:yVal>
          <c:smooth val="0"/>
        </c:ser>
        <c:ser>
          <c:idx val="4"/>
          <c:order val="4"/>
          <c:tx>
            <c:v>pH 6</c:v>
          </c:tx>
          <c:spPr>
            <a:ln w="15875">
              <a:solidFill>
                <a:srgbClr val="002060"/>
              </a:solidFill>
            </a:ln>
          </c:spPr>
          <c:xVal>
            <c:numRef>
              <c:f>'[Chart in Microsoft Word]Sheet4'!$A$35:$A$39</c:f>
              <c:numCache>
                <c:formatCode>General</c:formatCode>
                <c:ptCount val="5"/>
                <c:pt idx="0">
                  <c:v>0</c:v>
                </c:pt>
                <c:pt idx="1">
                  <c:v>24</c:v>
                </c:pt>
                <c:pt idx="2">
                  <c:v>48</c:v>
                </c:pt>
                <c:pt idx="3">
                  <c:v>72</c:v>
                </c:pt>
                <c:pt idx="4">
                  <c:v>96</c:v>
                </c:pt>
              </c:numCache>
            </c:numRef>
          </c:xVal>
          <c:yVal>
            <c:numRef>
              <c:f>'[Chart in Microsoft Word]Sheet4'!$F$35:$F$39</c:f>
              <c:numCache>
                <c:formatCode>General</c:formatCode>
                <c:ptCount val="5"/>
                <c:pt idx="0">
                  <c:v>0.16300000000000001</c:v>
                </c:pt>
                <c:pt idx="1">
                  <c:v>0.18099999999999999</c:v>
                </c:pt>
                <c:pt idx="2">
                  <c:v>0.20399999999999999</c:v>
                </c:pt>
                <c:pt idx="3">
                  <c:v>0.21099999999999999</c:v>
                </c:pt>
                <c:pt idx="4">
                  <c:v>0.21199999999999999</c:v>
                </c:pt>
              </c:numCache>
            </c:numRef>
          </c:yVal>
          <c:smooth val="0"/>
        </c:ser>
        <c:ser>
          <c:idx val="5"/>
          <c:order val="5"/>
          <c:tx>
            <c:v>pH 7,93</c:v>
          </c:tx>
          <c:spPr>
            <a:ln w="25400">
              <a:solidFill>
                <a:srgbClr val="FFC000"/>
              </a:solidFill>
            </a:ln>
          </c:spPr>
          <c:marker>
            <c:symbol val="circle"/>
            <c:size val="4"/>
          </c:marker>
          <c:dPt>
            <c:idx val="2"/>
            <c:bubble3D val="0"/>
            <c:spPr>
              <a:ln w="15875">
                <a:solidFill>
                  <a:srgbClr val="FFC000"/>
                </a:solidFill>
              </a:ln>
            </c:spPr>
          </c:dPt>
          <c:xVal>
            <c:numRef>
              <c:f>'[Chart in Microsoft Word]Sheet4'!$A$35:$A$39</c:f>
              <c:numCache>
                <c:formatCode>General</c:formatCode>
                <c:ptCount val="5"/>
                <c:pt idx="0">
                  <c:v>0</c:v>
                </c:pt>
                <c:pt idx="1">
                  <c:v>24</c:v>
                </c:pt>
                <c:pt idx="2">
                  <c:v>48</c:v>
                </c:pt>
                <c:pt idx="3">
                  <c:v>72</c:v>
                </c:pt>
                <c:pt idx="4">
                  <c:v>96</c:v>
                </c:pt>
              </c:numCache>
            </c:numRef>
          </c:xVal>
          <c:yVal>
            <c:numRef>
              <c:f>'[Chart in Microsoft Word]Sheet4'!$G$35:$G$39</c:f>
              <c:numCache>
                <c:formatCode>General</c:formatCode>
                <c:ptCount val="5"/>
                <c:pt idx="0">
                  <c:v>0.125</c:v>
                </c:pt>
                <c:pt idx="1">
                  <c:v>0.30099999999999999</c:v>
                </c:pt>
                <c:pt idx="2">
                  <c:v>0.313</c:v>
                </c:pt>
                <c:pt idx="3">
                  <c:v>0.309</c:v>
                </c:pt>
                <c:pt idx="4">
                  <c:v>0.29799999999999999</c:v>
                </c:pt>
              </c:numCache>
            </c:numRef>
          </c:yVal>
          <c:smooth val="0"/>
        </c:ser>
        <c:dLbls>
          <c:showLegendKey val="0"/>
          <c:showVal val="0"/>
          <c:showCatName val="0"/>
          <c:showSerName val="0"/>
          <c:showPercent val="0"/>
          <c:showBubbleSize val="0"/>
        </c:dLbls>
        <c:axId val="222351696"/>
        <c:axId val="222350608"/>
      </c:scatterChart>
      <c:valAx>
        <c:axId val="222351696"/>
        <c:scaling>
          <c:orientation val="minMax"/>
          <c:max val="96"/>
        </c:scaling>
        <c:delete val="0"/>
        <c:axPos val="b"/>
        <c:numFmt formatCode="General" sourceLinked="1"/>
        <c:majorTickMark val="out"/>
        <c:minorTickMark val="none"/>
        <c:tickLblPos val="nextTo"/>
        <c:txPr>
          <a:bodyPr/>
          <a:lstStyle/>
          <a:p>
            <a:pPr>
              <a:defRPr sz="800">
                <a:latin typeface="Times New Roman" pitchFamily="18" charset="0"/>
                <a:cs typeface="Times New Roman" pitchFamily="18" charset="0"/>
              </a:defRPr>
            </a:pPr>
            <a:endParaRPr lang="en-US"/>
          </a:p>
        </c:txPr>
        <c:crossAx val="222350608"/>
        <c:crosses val="autoZero"/>
        <c:crossBetween val="midCat"/>
        <c:majorUnit val="24"/>
      </c:valAx>
      <c:valAx>
        <c:axId val="222350608"/>
        <c:scaling>
          <c:orientation val="minMax"/>
          <c:max val="0.35000000000000003"/>
        </c:scaling>
        <c:delete val="0"/>
        <c:axPos val="l"/>
        <c:numFmt formatCode="#,##0.00" sourceLinked="0"/>
        <c:majorTickMark val="out"/>
        <c:minorTickMark val="none"/>
        <c:tickLblPos val="nextTo"/>
        <c:txPr>
          <a:bodyPr/>
          <a:lstStyle/>
          <a:p>
            <a:pPr>
              <a:defRPr sz="800">
                <a:latin typeface="Times New Roman" pitchFamily="18" charset="0"/>
                <a:cs typeface="Times New Roman" pitchFamily="18" charset="0"/>
              </a:defRPr>
            </a:pPr>
            <a:endParaRPr lang="en-US"/>
          </a:p>
        </c:txPr>
        <c:crossAx val="222351696"/>
        <c:crosses val="autoZero"/>
        <c:crossBetween val="midCat"/>
      </c:valAx>
      <c:spPr>
        <a:pattFill prst="pct5">
          <a:fgClr>
            <a:schemeClr val="tx1"/>
          </a:fgClr>
          <a:bgClr>
            <a:schemeClr val="bg1"/>
          </a:bgClr>
        </a:pattFill>
      </c:spPr>
    </c:plotArea>
    <c:legend>
      <c:legendPos val="r"/>
      <c:layout>
        <c:manualLayout>
          <c:xMode val="edge"/>
          <c:yMode val="edge"/>
          <c:x val="0.73500502092410858"/>
          <c:y val="0.18333906914281131"/>
          <c:w val="0.23489078920949688"/>
          <c:h val="0.69558428922970239"/>
        </c:manualLayout>
      </c:layout>
      <c:overlay val="0"/>
      <c:txPr>
        <a:bodyPr/>
        <a:lstStyle/>
        <a:p>
          <a:pPr>
            <a:defRPr sz="800">
              <a:latin typeface="Times New Roman" pitchFamily="18" charset="0"/>
              <a:cs typeface="Times New Roman" pitchFamily="18" charset="0"/>
            </a:defRPr>
          </a:pPr>
          <a:endParaRPr lang="en-US"/>
        </a:p>
      </c:txPr>
    </c:legend>
    <c:plotVisOnly val="1"/>
    <c:dispBlanksAs val="gap"/>
    <c:showDLblsOverMax val="0"/>
  </c:chart>
  <c:spPr>
    <a:noFill/>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0.02824</cdr:x>
      <cdr:y>0.2611</cdr:y>
    </cdr:from>
    <cdr:to>
      <cdr:x>0.09302</cdr:x>
      <cdr:y>0.75639</cdr:y>
    </cdr:to>
    <cdr:sp macro="" textlink="">
      <cdr:nvSpPr>
        <cdr:cNvPr id="2" name="TextBox 1"/>
        <cdr:cNvSpPr txBox="1"/>
      </cdr:nvSpPr>
      <cdr:spPr>
        <a:xfrm xmlns:a="http://schemas.openxmlformats.org/drawingml/2006/main">
          <a:off x="161924" y="923925"/>
          <a:ext cx="371475" cy="1752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0.07309</cdr:x>
      <cdr:y>0.06191</cdr:y>
    </cdr:from>
    <cdr:to>
      <cdr:x>0.25914</cdr:x>
      <cdr:y>0.19919</cdr:y>
    </cdr:to>
    <cdr:sp macro="" textlink="">
      <cdr:nvSpPr>
        <cdr:cNvPr id="3" name="TextBox 2"/>
        <cdr:cNvSpPr txBox="1"/>
      </cdr:nvSpPr>
      <cdr:spPr>
        <a:xfrm xmlns:a="http://schemas.openxmlformats.org/drawingml/2006/main">
          <a:off x="419100" y="219075"/>
          <a:ext cx="1066800" cy="4857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0.03032</cdr:x>
      <cdr:y>0.00788</cdr:y>
    </cdr:from>
    <cdr:to>
      <cdr:x>0.34993</cdr:x>
      <cdr:y>0.16669</cdr:y>
    </cdr:to>
    <cdr:sp macro="" textlink="">
      <cdr:nvSpPr>
        <cdr:cNvPr id="4" name="Text Box 3344"/>
        <cdr:cNvSpPr txBox="1"/>
      </cdr:nvSpPr>
      <cdr:spPr>
        <a:xfrm xmlns:a="http://schemas.openxmlformats.org/drawingml/2006/main">
          <a:off x="86421" y="13857"/>
          <a:ext cx="911053" cy="279457"/>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spcAft>
              <a:spcPts val="0"/>
            </a:spcAft>
          </a:pPr>
          <a:r>
            <a:rPr lang="en-US" sz="800" b="1">
              <a:effectLst/>
              <a:latin typeface="Times New Roman" pitchFamily="18" charset="0"/>
              <a:ea typeface="Times New Roman"/>
              <a:cs typeface="Times New Roman" pitchFamily="18" charset="0"/>
            </a:rPr>
            <a:t>Brix (%)</a:t>
          </a:r>
        </a:p>
        <a:p xmlns:a="http://schemas.openxmlformats.org/drawingml/2006/main">
          <a:pPr>
            <a:spcAft>
              <a:spcPts val="0"/>
            </a:spcAft>
          </a:pPr>
          <a:r>
            <a:rPr lang="en-US" sz="800" b="1">
              <a:effectLst/>
              <a:latin typeface="Times New Roman" pitchFamily="18" charset="0"/>
              <a:ea typeface="Times New Roman"/>
              <a:cs typeface="Times New Roman" pitchFamily="18" charset="0"/>
            </a:rPr>
            <a:t>Đường sót (%)</a:t>
          </a:r>
        </a:p>
      </cdr:txBody>
    </cdr:sp>
  </cdr:relSizeAnchor>
  <cdr:relSizeAnchor xmlns:cdr="http://schemas.openxmlformats.org/drawingml/2006/chartDrawing">
    <cdr:from>
      <cdr:x>0.66917</cdr:x>
      <cdr:y>0.89433</cdr:y>
    </cdr:from>
    <cdr:to>
      <cdr:x>1</cdr:x>
      <cdr:y>1</cdr:y>
    </cdr:to>
    <cdr:sp macro="" textlink="">
      <cdr:nvSpPr>
        <cdr:cNvPr id="6" name="Text Box 1761"/>
        <cdr:cNvSpPr txBox="1"/>
      </cdr:nvSpPr>
      <cdr:spPr>
        <a:xfrm xmlns:a="http://schemas.openxmlformats.org/drawingml/2006/main">
          <a:off x="1875763" y="1570383"/>
          <a:ext cx="927072" cy="185530"/>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spcAft>
              <a:spcPts val="0"/>
            </a:spcAft>
          </a:pPr>
          <a:r>
            <a:rPr lang="en-US" sz="800" b="1">
              <a:effectLst/>
              <a:latin typeface="Times New Roman"/>
              <a:ea typeface="Times New Roman"/>
            </a:rPr>
            <a:t>Thời gian (giờ)</a:t>
          </a:r>
        </a:p>
      </cdr:txBody>
    </cdr:sp>
  </cdr:relSizeAnchor>
  <cdr:relSizeAnchor xmlns:cdr="http://schemas.openxmlformats.org/drawingml/2006/chartDrawing">
    <cdr:from>
      <cdr:x>0.59592</cdr:x>
      <cdr:y>0.04431</cdr:y>
    </cdr:from>
    <cdr:to>
      <cdr:x>0.90765</cdr:x>
      <cdr:y>0.13877</cdr:y>
    </cdr:to>
    <cdr:sp macro="" textlink="">
      <cdr:nvSpPr>
        <cdr:cNvPr id="8" name="Text Box 1762"/>
        <cdr:cNvSpPr txBox="1"/>
      </cdr:nvSpPr>
      <cdr:spPr>
        <a:xfrm xmlns:a="http://schemas.openxmlformats.org/drawingml/2006/main">
          <a:off x="1698679" y="77972"/>
          <a:ext cx="888577" cy="166210"/>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nSpc>
              <a:spcPct val="115000"/>
            </a:lnSpc>
            <a:spcAft>
              <a:spcPts val="1000"/>
            </a:spcAft>
          </a:pPr>
          <a:r>
            <a:rPr lang="en-US" sz="800" b="1">
              <a:effectLst/>
              <a:latin typeface="Times New Roman" pitchFamily="18" charset="0"/>
              <a:ea typeface="Times New Roman"/>
              <a:cs typeface="Times New Roman" pitchFamily="18" charset="0"/>
            </a:rPr>
            <a:t>Độ cồn % v/v </a:t>
          </a:r>
        </a:p>
      </cdr:txBody>
    </cdr:sp>
  </cdr:relSizeAnchor>
</c:userShapes>
</file>

<file path=word/drawings/drawing2.xml><?xml version="1.0" encoding="utf-8"?>
<c:userShapes xmlns:c="http://schemas.openxmlformats.org/drawingml/2006/chart">
  <cdr:relSizeAnchor xmlns:cdr="http://schemas.openxmlformats.org/drawingml/2006/chartDrawing">
    <cdr:from>
      <cdr:x>0.5934</cdr:x>
      <cdr:y>0.00577</cdr:y>
    </cdr:from>
    <cdr:to>
      <cdr:x>0.92367</cdr:x>
      <cdr:y>0.10781</cdr:y>
    </cdr:to>
    <cdr:sp macro="" textlink="">
      <cdr:nvSpPr>
        <cdr:cNvPr id="3" name="Text Box 1762"/>
        <cdr:cNvSpPr txBox="1"/>
      </cdr:nvSpPr>
      <cdr:spPr>
        <a:xfrm xmlns:a="http://schemas.openxmlformats.org/drawingml/2006/main">
          <a:off x="1762336" y="10098"/>
          <a:ext cx="980864" cy="178576"/>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115000"/>
            </a:lnSpc>
            <a:spcAft>
              <a:spcPts val="1000"/>
            </a:spcAft>
          </a:pPr>
          <a:r>
            <a:rPr lang="en-US" sz="800" b="1">
              <a:effectLst/>
              <a:latin typeface="Times New Roman" pitchFamily="18" charset="0"/>
              <a:ea typeface="Times New Roman"/>
              <a:cs typeface="Times New Roman" pitchFamily="18" charset="0"/>
            </a:rPr>
            <a:t>Acid tổng số (%)</a:t>
          </a:r>
        </a:p>
      </cdr:txBody>
    </cdr:sp>
  </cdr:relSizeAnchor>
  <cdr:relSizeAnchor xmlns:cdr="http://schemas.openxmlformats.org/drawingml/2006/chartDrawing">
    <cdr:from>
      <cdr:x>0.04148</cdr:x>
      <cdr:y>0</cdr:y>
    </cdr:from>
    <cdr:to>
      <cdr:x>0.16064</cdr:x>
      <cdr:y>0.10043</cdr:y>
    </cdr:to>
    <cdr:sp macro="" textlink="">
      <cdr:nvSpPr>
        <cdr:cNvPr id="4" name="Text Box 1765"/>
        <cdr:cNvSpPr txBox="1"/>
      </cdr:nvSpPr>
      <cdr:spPr>
        <a:xfrm xmlns:a="http://schemas.openxmlformats.org/drawingml/2006/main">
          <a:off x="123190" y="0"/>
          <a:ext cx="353887" cy="175759"/>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115000"/>
            </a:lnSpc>
            <a:spcAft>
              <a:spcPts val="1000"/>
            </a:spcAft>
          </a:pPr>
          <a:r>
            <a:rPr lang="en-US" sz="800" b="1">
              <a:effectLst/>
              <a:latin typeface="Times New Roman" pitchFamily="18" charset="0"/>
              <a:ea typeface="Times New Roman"/>
              <a:cs typeface="Times New Roman" pitchFamily="18" charset="0"/>
            </a:rPr>
            <a:t>pH</a:t>
          </a:r>
        </a:p>
      </cdr:txBody>
    </cdr:sp>
  </cdr:relSizeAnchor>
  <cdr:relSizeAnchor xmlns:cdr="http://schemas.openxmlformats.org/drawingml/2006/chartDrawing">
    <cdr:from>
      <cdr:x>0.66486</cdr:x>
      <cdr:y>0.84002</cdr:y>
    </cdr:from>
    <cdr:to>
      <cdr:x>0.98135</cdr:x>
      <cdr:y>0.9678</cdr:y>
    </cdr:to>
    <cdr:sp macro="" textlink="">
      <cdr:nvSpPr>
        <cdr:cNvPr id="5" name="Text Box 3334"/>
        <cdr:cNvSpPr txBox="1"/>
      </cdr:nvSpPr>
      <cdr:spPr>
        <a:xfrm xmlns:a="http://schemas.openxmlformats.org/drawingml/2006/main">
          <a:off x="1974575" y="1470085"/>
          <a:ext cx="939932" cy="223623"/>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spcAft>
              <a:spcPts val="0"/>
            </a:spcAft>
          </a:pPr>
          <a:r>
            <a:rPr lang="en-US" sz="800" b="1">
              <a:effectLst/>
              <a:latin typeface="Times New Roman"/>
              <a:ea typeface="Times New Roman"/>
            </a:rPr>
            <a:t>Thời gian (giờ)</a:t>
          </a:r>
        </a:p>
      </cdr:txBody>
    </cdr:sp>
  </cdr:relSizeAnchor>
</c:userShapes>
</file>

<file path=word/drawings/drawing3.xml><?xml version="1.0" encoding="utf-8"?>
<c:userShapes xmlns:c="http://schemas.openxmlformats.org/drawingml/2006/chart">
  <cdr:relSizeAnchor xmlns:cdr="http://schemas.openxmlformats.org/drawingml/2006/chartDrawing">
    <cdr:from>
      <cdr:x>0.80211</cdr:x>
      <cdr:y>0.87818</cdr:y>
    </cdr:from>
    <cdr:to>
      <cdr:x>0.98737</cdr:x>
      <cdr:y>0.96386</cdr:y>
    </cdr:to>
    <cdr:sp macro="" textlink="">
      <cdr:nvSpPr>
        <cdr:cNvPr id="2" name="TextBox 1"/>
        <cdr:cNvSpPr txBox="1"/>
      </cdr:nvSpPr>
      <cdr:spPr>
        <a:xfrm xmlns:a="http://schemas.openxmlformats.org/drawingml/2006/main">
          <a:off x="3629025" y="3124200"/>
          <a:ext cx="838200"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0.80364</cdr:x>
      <cdr:y>0.86874</cdr:y>
    </cdr:from>
    <cdr:to>
      <cdr:x>0.95547</cdr:x>
      <cdr:y>0.96617</cdr:y>
    </cdr:to>
    <cdr:sp macro="" textlink="">
      <cdr:nvSpPr>
        <cdr:cNvPr id="3" name="TextBox 2"/>
        <cdr:cNvSpPr txBox="1"/>
      </cdr:nvSpPr>
      <cdr:spPr>
        <a:xfrm xmlns:a="http://schemas.openxmlformats.org/drawingml/2006/main">
          <a:off x="3781424" y="3057525"/>
          <a:ext cx="714375"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aseline="0"/>
            <a:t> </a:t>
          </a:r>
          <a:endParaRPr lang="en-US" sz="1100"/>
        </a:p>
      </cdr:txBody>
    </cdr:sp>
  </cdr:relSizeAnchor>
  <cdr:relSizeAnchor xmlns:cdr="http://schemas.openxmlformats.org/drawingml/2006/chartDrawing">
    <cdr:from>
      <cdr:x>0.80127</cdr:x>
      <cdr:y>0.86604</cdr:y>
    </cdr:from>
    <cdr:to>
      <cdr:x>1</cdr:x>
      <cdr:y>0.98782</cdr:y>
    </cdr:to>
    <cdr:sp macro="" textlink="">
      <cdr:nvSpPr>
        <cdr:cNvPr id="4" name="TextBox 3"/>
        <cdr:cNvSpPr txBox="1"/>
      </cdr:nvSpPr>
      <cdr:spPr>
        <a:xfrm xmlns:a="http://schemas.openxmlformats.org/drawingml/2006/main">
          <a:off x="3667124" y="3048000"/>
          <a:ext cx="895350" cy="428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0.70825</cdr:x>
      <cdr:y>0.74228</cdr:y>
    </cdr:from>
    <cdr:to>
      <cdr:x>1</cdr:x>
      <cdr:y>1</cdr:y>
    </cdr:to>
    <cdr:sp macro="" textlink="">
      <cdr:nvSpPr>
        <cdr:cNvPr id="5" name="TextBox 4"/>
        <cdr:cNvSpPr txBox="1"/>
      </cdr:nvSpPr>
      <cdr:spPr>
        <a:xfrm xmlns:a="http://schemas.openxmlformats.org/drawingml/2006/main">
          <a:off x="3190874" y="2633662"/>
          <a:ext cx="131445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0.81184</cdr:x>
      <cdr:y>0.83221</cdr:y>
    </cdr:from>
    <cdr:to>
      <cdr:x>1</cdr:x>
      <cdr:y>0.98792</cdr:y>
    </cdr:to>
    <cdr:sp macro="" textlink="">
      <cdr:nvSpPr>
        <cdr:cNvPr id="6" name="TextBox 5"/>
        <cdr:cNvSpPr txBox="1"/>
      </cdr:nvSpPr>
      <cdr:spPr>
        <a:xfrm xmlns:a="http://schemas.openxmlformats.org/drawingml/2006/main">
          <a:off x="3657599" y="2952750"/>
          <a:ext cx="847725" cy="552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cdr:x>
      <cdr:y>0</cdr:y>
    </cdr:from>
    <cdr:to>
      <cdr:x>0.27301</cdr:x>
      <cdr:y>0.09079</cdr:y>
    </cdr:to>
    <cdr:sp macro="" textlink="">
      <cdr:nvSpPr>
        <cdr:cNvPr id="7" name="TextBox 6"/>
        <cdr:cNvSpPr txBox="1"/>
      </cdr:nvSpPr>
      <cdr:spPr>
        <a:xfrm xmlns:a="http://schemas.openxmlformats.org/drawingml/2006/main">
          <a:off x="0" y="0"/>
          <a:ext cx="760536" cy="1527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b="1">
              <a:latin typeface="Times New Roman" pitchFamily="18" charset="0"/>
              <a:cs typeface="Times New Roman" pitchFamily="18" charset="0"/>
            </a:rPr>
            <a:t>Brix</a:t>
          </a:r>
          <a:r>
            <a:rPr lang="en-US" sz="800" b="1" baseline="0">
              <a:latin typeface="Times New Roman" pitchFamily="18" charset="0"/>
              <a:cs typeface="Times New Roman" pitchFamily="18" charset="0"/>
            </a:rPr>
            <a:t> (%)</a:t>
          </a:r>
          <a:endParaRPr lang="en-US" sz="800" b="1">
            <a:latin typeface="Times New Roman" pitchFamily="18" charset="0"/>
            <a:cs typeface="Times New Roman" pitchFamily="18" charset="0"/>
          </a:endParaRPr>
        </a:p>
      </cdr:txBody>
    </cdr:sp>
  </cdr:relSizeAnchor>
  <cdr:relSizeAnchor xmlns:cdr="http://schemas.openxmlformats.org/drawingml/2006/chartDrawing">
    <cdr:from>
      <cdr:x>0.02824</cdr:x>
      <cdr:y>0.2611</cdr:y>
    </cdr:from>
    <cdr:to>
      <cdr:x>0.09302</cdr:x>
      <cdr:y>0.75639</cdr:y>
    </cdr:to>
    <cdr:sp macro="" textlink="">
      <cdr:nvSpPr>
        <cdr:cNvPr id="8" name="TextBox 1"/>
        <cdr:cNvSpPr txBox="1"/>
      </cdr:nvSpPr>
      <cdr:spPr>
        <a:xfrm xmlns:a="http://schemas.openxmlformats.org/drawingml/2006/main">
          <a:off x="161924" y="923925"/>
          <a:ext cx="371475" cy="1752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0.07309</cdr:x>
      <cdr:y>0.06191</cdr:y>
    </cdr:from>
    <cdr:to>
      <cdr:x>0.25914</cdr:x>
      <cdr:y>0.19919</cdr:y>
    </cdr:to>
    <cdr:sp macro="" textlink="">
      <cdr:nvSpPr>
        <cdr:cNvPr id="9" name="TextBox 2"/>
        <cdr:cNvSpPr txBox="1"/>
      </cdr:nvSpPr>
      <cdr:spPr>
        <a:xfrm xmlns:a="http://schemas.openxmlformats.org/drawingml/2006/main">
          <a:off x="419100" y="219075"/>
          <a:ext cx="1066800" cy="4857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0.80211</cdr:x>
      <cdr:y>0.87818</cdr:y>
    </cdr:from>
    <cdr:to>
      <cdr:x>0.98737</cdr:x>
      <cdr:y>0.96386</cdr:y>
    </cdr:to>
    <cdr:sp macro="" textlink="">
      <cdr:nvSpPr>
        <cdr:cNvPr id="12" name="TextBox 1"/>
        <cdr:cNvSpPr txBox="1"/>
      </cdr:nvSpPr>
      <cdr:spPr>
        <a:xfrm xmlns:a="http://schemas.openxmlformats.org/drawingml/2006/main">
          <a:off x="3629025" y="3124200"/>
          <a:ext cx="838200"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0.80364</cdr:x>
      <cdr:y>0.86874</cdr:y>
    </cdr:from>
    <cdr:to>
      <cdr:x>0.95547</cdr:x>
      <cdr:y>0.96617</cdr:y>
    </cdr:to>
    <cdr:sp macro="" textlink="">
      <cdr:nvSpPr>
        <cdr:cNvPr id="13" name="TextBox 2"/>
        <cdr:cNvSpPr txBox="1"/>
      </cdr:nvSpPr>
      <cdr:spPr>
        <a:xfrm xmlns:a="http://schemas.openxmlformats.org/drawingml/2006/main">
          <a:off x="3781424" y="3057525"/>
          <a:ext cx="714375"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aseline="0"/>
            <a:t> </a:t>
          </a:r>
          <a:endParaRPr lang="en-US" sz="1100"/>
        </a:p>
      </cdr:txBody>
    </cdr:sp>
  </cdr:relSizeAnchor>
  <cdr:relSizeAnchor xmlns:cdr="http://schemas.openxmlformats.org/drawingml/2006/chartDrawing">
    <cdr:from>
      <cdr:x>0.80127</cdr:x>
      <cdr:y>0.86604</cdr:y>
    </cdr:from>
    <cdr:to>
      <cdr:x>1</cdr:x>
      <cdr:y>0.98782</cdr:y>
    </cdr:to>
    <cdr:sp macro="" textlink="">
      <cdr:nvSpPr>
        <cdr:cNvPr id="14" name="TextBox 3"/>
        <cdr:cNvSpPr txBox="1"/>
      </cdr:nvSpPr>
      <cdr:spPr>
        <a:xfrm xmlns:a="http://schemas.openxmlformats.org/drawingml/2006/main">
          <a:off x="3667124" y="3048000"/>
          <a:ext cx="895350" cy="428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0.70825</cdr:x>
      <cdr:y>0.74228</cdr:y>
    </cdr:from>
    <cdr:to>
      <cdr:x>1</cdr:x>
      <cdr:y>1</cdr:y>
    </cdr:to>
    <cdr:sp macro="" textlink="">
      <cdr:nvSpPr>
        <cdr:cNvPr id="15" name="TextBox 4"/>
        <cdr:cNvSpPr txBox="1"/>
      </cdr:nvSpPr>
      <cdr:spPr>
        <a:xfrm xmlns:a="http://schemas.openxmlformats.org/drawingml/2006/main">
          <a:off x="3190874" y="2633662"/>
          <a:ext cx="131445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0.81184</cdr:x>
      <cdr:y>0.83221</cdr:y>
    </cdr:from>
    <cdr:to>
      <cdr:x>1</cdr:x>
      <cdr:y>0.98792</cdr:y>
    </cdr:to>
    <cdr:sp macro="" textlink="">
      <cdr:nvSpPr>
        <cdr:cNvPr id="16" name="TextBox 5"/>
        <cdr:cNvSpPr txBox="1"/>
      </cdr:nvSpPr>
      <cdr:spPr>
        <a:xfrm xmlns:a="http://schemas.openxmlformats.org/drawingml/2006/main">
          <a:off x="3657599" y="2952750"/>
          <a:ext cx="847725" cy="552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0.02824</cdr:x>
      <cdr:y>0.2611</cdr:y>
    </cdr:from>
    <cdr:to>
      <cdr:x>0.09302</cdr:x>
      <cdr:y>0.75639</cdr:y>
    </cdr:to>
    <cdr:sp macro="" textlink="">
      <cdr:nvSpPr>
        <cdr:cNvPr id="18" name="TextBox 1"/>
        <cdr:cNvSpPr txBox="1"/>
      </cdr:nvSpPr>
      <cdr:spPr>
        <a:xfrm xmlns:a="http://schemas.openxmlformats.org/drawingml/2006/main">
          <a:off x="161924" y="923925"/>
          <a:ext cx="371475" cy="1752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0.07309</cdr:x>
      <cdr:y>0.06191</cdr:y>
    </cdr:from>
    <cdr:to>
      <cdr:x>0.25914</cdr:x>
      <cdr:y>0.19919</cdr:y>
    </cdr:to>
    <cdr:sp macro="" textlink="">
      <cdr:nvSpPr>
        <cdr:cNvPr id="19" name="TextBox 2"/>
        <cdr:cNvSpPr txBox="1"/>
      </cdr:nvSpPr>
      <cdr:spPr>
        <a:xfrm xmlns:a="http://schemas.openxmlformats.org/drawingml/2006/main">
          <a:off x="419100" y="219075"/>
          <a:ext cx="1066800" cy="4857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0.65059</cdr:x>
      <cdr:y>0.80179</cdr:y>
    </cdr:from>
    <cdr:to>
      <cdr:x>0.98227</cdr:x>
      <cdr:y>0.95719</cdr:y>
    </cdr:to>
    <cdr:sp macro="" textlink="">
      <cdr:nvSpPr>
        <cdr:cNvPr id="21" name="Text Box 1761"/>
        <cdr:cNvSpPr txBox="1"/>
      </cdr:nvSpPr>
      <cdr:spPr>
        <a:xfrm xmlns:a="http://schemas.openxmlformats.org/drawingml/2006/main">
          <a:off x="1740090" y="1405720"/>
          <a:ext cx="887104" cy="272452"/>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spcAft>
              <a:spcPts val="0"/>
            </a:spcAft>
          </a:pPr>
          <a:r>
            <a:rPr lang="en-US" sz="800" b="1">
              <a:effectLst/>
              <a:latin typeface="Times New Roman"/>
              <a:ea typeface="Times New Roman"/>
            </a:rPr>
            <a:t>Thời gian (giờ)</a:t>
          </a:r>
        </a:p>
      </cdr:txBody>
    </cdr:sp>
  </cdr:relSizeAnchor>
</c:userShapes>
</file>

<file path=word/drawings/drawing4.xml><?xml version="1.0" encoding="utf-8"?>
<c:userShapes xmlns:c="http://schemas.openxmlformats.org/drawingml/2006/chart">
  <cdr:relSizeAnchor xmlns:cdr="http://schemas.openxmlformats.org/drawingml/2006/chartDrawing">
    <cdr:from>
      <cdr:x>0.70846</cdr:x>
      <cdr:y>0.83003</cdr:y>
    </cdr:from>
    <cdr:to>
      <cdr:x>1</cdr:x>
      <cdr:y>0.91452</cdr:y>
    </cdr:to>
    <cdr:sp macro="" textlink="">
      <cdr:nvSpPr>
        <cdr:cNvPr id="2" name="Text Box 1761"/>
        <cdr:cNvSpPr txBox="1"/>
      </cdr:nvSpPr>
      <cdr:spPr>
        <a:xfrm xmlns:a="http://schemas.openxmlformats.org/drawingml/2006/main">
          <a:off x="2632744" y="2197866"/>
          <a:ext cx="1083378" cy="223726"/>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spcAft>
              <a:spcPts val="0"/>
            </a:spcAft>
          </a:pPr>
          <a:r>
            <a:rPr lang="en-US" sz="900" b="1">
              <a:effectLst/>
              <a:latin typeface="Times New Roman"/>
              <a:ea typeface="Times New Roman"/>
            </a:rPr>
            <a:t>Thời gian (giờ)</a:t>
          </a:r>
        </a:p>
      </cdr:txBody>
    </cdr:sp>
  </cdr:relSizeAnchor>
</c:userShapes>
</file>

<file path=word/drawings/drawing5.xml><?xml version="1.0" encoding="utf-8"?>
<c:userShapes xmlns:c="http://schemas.openxmlformats.org/drawingml/2006/chart">
  <cdr:relSizeAnchor xmlns:cdr="http://schemas.openxmlformats.org/drawingml/2006/chartDrawing">
    <cdr:from>
      <cdr:x>0.68534</cdr:x>
      <cdr:y>0.84769</cdr:y>
    </cdr:from>
    <cdr:to>
      <cdr:x>0.98065</cdr:x>
      <cdr:y>0.96351</cdr:y>
    </cdr:to>
    <cdr:sp macro="" textlink="">
      <cdr:nvSpPr>
        <cdr:cNvPr id="2" name="Text Box 1761"/>
        <cdr:cNvSpPr txBox="1"/>
      </cdr:nvSpPr>
      <cdr:spPr>
        <a:xfrm xmlns:a="http://schemas.openxmlformats.org/drawingml/2006/main">
          <a:off x="2035834" y="1637996"/>
          <a:ext cx="877216" cy="223799"/>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spcAft>
              <a:spcPts val="0"/>
            </a:spcAft>
          </a:pPr>
          <a:r>
            <a:rPr lang="en-US" sz="800" b="1">
              <a:effectLst/>
              <a:latin typeface="Times New Roman"/>
              <a:ea typeface="Times New Roman"/>
            </a:rPr>
            <a:t>Thời </a:t>
          </a:r>
          <a:r>
            <a:rPr lang="en-US" sz="800" b="1">
              <a:effectLst/>
              <a:latin typeface="Times New Roman" pitchFamily="18" charset="0"/>
              <a:ea typeface="Times New Roman"/>
              <a:cs typeface="Times New Roman" pitchFamily="18" charset="0"/>
            </a:rPr>
            <a:t>gian</a:t>
          </a:r>
          <a:r>
            <a:rPr lang="en-US" sz="800" b="1">
              <a:effectLst/>
              <a:latin typeface="Times New Roman"/>
              <a:ea typeface="Times New Roman"/>
            </a:rPr>
            <a:t> (giờ)</a:t>
          </a:r>
        </a:p>
      </cdr:txBody>
    </cdr:sp>
  </cdr:relSizeAnchor>
  <cdr:relSizeAnchor xmlns:cdr="http://schemas.openxmlformats.org/drawingml/2006/chartDrawing">
    <cdr:from>
      <cdr:x>0</cdr:x>
      <cdr:y>0.13241</cdr:y>
    </cdr:from>
    <cdr:to>
      <cdr:x>0.384</cdr:x>
      <cdr:y>0.21809</cdr:y>
    </cdr:to>
    <cdr:sp macro="" textlink="">
      <cdr:nvSpPr>
        <cdr:cNvPr id="4" name="Text Box 3"/>
        <cdr:cNvSpPr txBox="1"/>
      </cdr:nvSpPr>
      <cdr:spPr>
        <a:xfrm xmlns:a="http://schemas.openxmlformats.org/drawingml/2006/main">
          <a:off x="0" y="255854"/>
          <a:ext cx="1140684" cy="1655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b="1">
              <a:latin typeface="Times New Roman" pitchFamily="18" charset="0"/>
              <a:cs typeface="Times New Roman" pitchFamily="18" charset="0"/>
            </a:rPr>
            <a:t>Acid tổng</a:t>
          </a:r>
          <a:r>
            <a:rPr lang="en-US" sz="800" b="1" baseline="0">
              <a:latin typeface="Times New Roman" pitchFamily="18" charset="0"/>
              <a:cs typeface="Times New Roman" pitchFamily="18" charset="0"/>
            </a:rPr>
            <a:t> số (%)</a:t>
          </a:r>
          <a:endParaRPr lang="en-US" sz="800" b="1">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M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CC340-C3D0-4944-BFAC-0CA6862A3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2487</Words>
  <Characters>14180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2016-02-20T08:48:00Z</dcterms:created>
  <dcterms:modified xsi:type="dcterms:W3CDTF">2016-02-25T10:55:00Z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ies>
</file>