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0C2344" w14:textId="224EFACC" w:rsidR="00CD420F" w:rsidRPr="00015E0E" w:rsidRDefault="003713DB" w:rsidP="00B02A40">
      <w:pPr>
        <w:pStyle w:val="01TiubiboVietnam"/>
        <w:rPr>
          <w:highlight w:val="yellow"/>
        </w:rPr>
      </w:pPr>
      <w:r w:rsidRPr="00015E0E">
        <w:rPr>
          <w:highlight w:val="yellow"/>
        </w:rPr>
        <w:t xml:space="preserve">cơ sở lý thuyết CỦA việc </w:t>
      </w:r>
      <w:r w:rsidR="00CD420F" w:rsidRPr="00015E0E">
        <w:rPr>
          <w:highlight w:val="yellow"/>
        </w:rPr>
        <w:t>THIẾT LẬP MÔ HÌNH ĐỊNH GIÁ DOANH NGHIỆP</w:t>
      </w:r>
    </w:p>
    <w:p w14:paraId="31B1A944" w14:textId="26E21C1B" w:rsidR="00CD420F" w:rsidRPr="006F6CE9" w:rsidRDefault="003713DB" w:rsidP="00B02A40">
      <w:pPr>
        <w:pStyle w:val="02TiubiboEnglish"/>
      </w:pPr>
      <w:r w:rsidRPr="00015E0E">
        <w:rPr>
          <w:highlight w:val="yellow"/>
        </w:rPr>
        <w:t xml:space="preserve">A THEORETICAL analysis OF </w:t>
      </w:r>
      <w:r w:rsidR="00CD420F" w:rsidRPr="00015E0E">
        <w:rPr>
          <w:highlight w:val="yellow"/>
        </w:rPr>
        <w:t>Modeling firm valuation</w:t>
      </w:r>
    </w:p>
    <w:p w14:paraId="07B76D13" w14:textId="77777777" w:rsidR="00CD420F" w:rsidRPr="006F6CE9" w:rsidRDefault="00CD420F" w:rsidP="006E2209"/>
    <w:p w14:paraId="22E01D70" w14:textId="77777777" w:rsidR="00CD420F" w:rsidRPr="006F6CE9" w:rsidRDefault="00B707D2" w:rsidP="00D43723">
      <w:pPr>
        <w:pStyle w:val="05Tmtt-Abstract"/>
        <w:sectPr w:rsidR="00CD420F" w:rsidRPr="006F6CE9" w:rsidSect="00E40F9E">
          <w:headerReference w:type="even" r:id="rId8"/>
          <w:headerReference w:type="default" r:id="rId9"/>
          <w:footerReference w:type="even" r:id="rId10"/>
          <w:pgSz w:w="10773" w:h="15026" w:code="9"/>
          <w:pgMar w:top="567" w:right="567" w:bottom="567" w:left="567" w:header="284" w:footer="284" w:gutter="0"/>
          <w:cols w:space="720"/>
          <w:docGrid w:linePitch="360"/>
        </w:sectPr>
      </w:pPr>
      <w:r>
        <w:t>Sugges</w:t>
      </w:r>
      <w:bookmarkStart w:id="0" w:name="_GoBack"/>
      <w:bookmarkEnd w:id="0"/>
      <w:r>
        <w:t xml:space="preserve">tions: </w:t>
      </w:r>
    </w:p>
    <w:p w14:paraId="0AD6199F" w14:textId="77777777" w:rsidR="00CD420F" w:rsidRPr="0058571C" w:rsidRDefault="00CD420F" w:rsidP="0058571C">
      <w:pPr>
        <w:pStyle w:val="05Tmtt-Abstract"/>
        <w:ind w:firstLine="0"/>
      </w:pPr>
      <w:proofErr w:type="spellStart"/>
      <w:proofErr w:type="gramStart"/>
      <w:r w:rsidRPr="0058571C">
        <w:rPr>
          <w:b/>
          <w:bCs/>
        </w:rPr>
        <w:lastRenderedPageBreak/>
        <w:t>Tóm</w:t>
      </w:r>
      <w:proofErr w:type="spellEnd"/>
      <w:r w:rsidRPr="0058571C">
        <w:rPr>
          <w:b/>
          <w:bCs/>
        </w:rPr>
        <w:t xml:space="preserve"> </w:t>
      </w:r>
      <w:proofErr w:type="spellStart"/>
      <w:r w:rsidRPr="0058571C">
        <w:rPr>
          <w:b/>
          <w:bCs/>
        </w:rPr>
        <w:t>tắt</w:t>
      </w:r>
      <w:proofErr w:type="spellEnd"/>
      <w:r>
        <w:rPr>
          <w:b/>
          <w:bCs/>
        </w:rPr>
        <w:t xml:space="preserve"> - </w:t>
      </w:r>
      <w:proofErr w:type="spellStart"/>
      <w:r w:rsidRPr="0058571C">
        <w:t>Giá</w:t>
      </w:r>
      <w:proofErr w:type="spellEnd"/>
      <w:r w:rsidRPr="0058571C">
        <w:t xml:space="preserve"> </w:t>
      </w:r>
      <w:proofErr w:type="spellStart"/>
      <w:r w:rsidRPr="0058571C">
        <w:t>trị</w:t>
      </w:r>
      <w:proofErr w:type="spellEnd"/>
      <w:r w:rsidRPr="0058571C">
        <w:t xml:space="preserve"> </w:t>
      </w:r>
      <w:proofErr w:type="spellStart"/>
      <w:r w:rsidRPr="0058571C">
        <w:t>nội</w:t>
      </w:r>
      <w:proofErr w:type="spellEnd"/>
      <w:r w:rsidRPr="0058571C">
        <w:t xml:space="preserve"> </w:t>
      </w:r>
      <w:proofErr w:type="spellStart"/>
      <w:r w:rsidRPr="0058571C">
        <w:t>tại</w:t>
      </w:r>
      <w:proofErr w:type="spellEnd"/>
      <w:r w:rsidRPr="0058571C">
        <w:t xml:space="preserve"> </w:t>
      </w:r>
      <w:proofErr w:type="spellStart"/>
      <w:r w:rsidRPr="0058571C">
        <w:t>của</w:t>
      </w:r>
      <w:proofErr w:type="spellEnd"/>
      <w:r w:rsidRPr="0058571C">
        <w:t xml:space="preserve"> </w:t>
      </w:r>
      <w:proofErr w:type="spellStart"/>
      <w:r w:rsidRPr="0058571C">
        <w:t>một</w:t>
      </w:r>
      <w:proofErr w:type="spellEnd"/>
      <w:r w:rsidRPr="0058571C">
        <w:t xml:space="preserve"> </w:t>
      </w:r>
      <w:proofErr w:type="spellStart"/>
      <w:r w:rsidRPr="0058571C">
        <w:t>doanh</w:t>
      </w:r>
      <w:proofErr w:type="spellEnd"/>
      <w:r w:rsidRPr="0058571C">
        <w:t xml:space="preserve"> </w:t>
      </w:r>
      <w:proofErr w:type="spellStart"/>
      <w:r w:rsidRPr="0058571C">
        <w:t>nghiệp</w:t>
      </w:r>
      <w:proofErr w:type="spellEnd"/>
      <w:r w:rsidRPr="0058571C">
        <w:t xml:space="preserve"> </w:t>
      </w:r>
      <w:proofErr w:type="spellStart"/>
      <w:r w:rsidRPr="0058571C">
        <w:t>là</w:t>
      </w:r>
      <w:proofErr w:type="spellEnd"/>
      <w:r w:rsidRPr="0058571C">
        <w:t xml:space="preserve"> </w:t>
      </w:r>
      <w:proofErr w:type="spellStart"/>
      <w:r w:rsidRPr="0058571C">
        <w:t>vấn</w:t>
      </w:r>
      <w:proofErr w:type="spellEnd"/>
      <w:r w:rsidRPr="0058571C">
        <w:t xml:space="preserve"> </w:t>
      </w:r>
      <w:proofErr w:type="spellStart"/>
      <w:r w:rsidRPr="0058571C">
        <w:t>đề</w:t>
      </w:r>
      <w:proofErr w:type="spellEnd"/>
      <w:r w:rsidRPr="0058571C">
        <w:t xml:space="preserve"> </w:t>
      </w:r>
      <w:proofErr w:type="spellStart"/>
      <w:r w:rsidRPr="0058571C">
        <w:t>quan</w:t>
      </w:r>
      <w:proofErr w:type="spellEnd"/>
      <w:r w:rsidRPr="0058571C">
        <w:t xml:space="preserve"> </w:t>
      </w:r>
      <w:proofErr w:type="spellStart"/>
      <w:r w:rsidRPr="0058571C">
        <w:t>tâm</w:t>
      </w:r>
      <w:proofErr w:type="spellEnd"/>
      <w:r w:rsidRPr="0058571C">
        <w:t xml:space="preserve"> </w:t>
      </w:r>
      <w:proofErr w:type="spellStart"/>
      <w:r w:rsidRPr="0058571C">
        <w:t>hàng</w:t>
      </w:r>
      <w:proofErr w:type="spellEnd"/>
      <w:r w:rsidRPr="0058571C">
        <w:t xml:space="preserve"> </w:t>
      </w:r>
      <w:proofErr w:type="spellStart"/>
      <w:r w:rsidRPr="0058571C">
        <w:t>đầu</w:t>
      </w:r>
      <w:proofErr w:type="spellEnd"/>
      <w:r w:rsidRPr="0058571C">
        <w:t xml:space="preserve"> </w:t>
      </w:r>
      <w:proofErr w:type="spellStart"/>
      <w:r w:rsidRPr="0058571C">
        <w:t>của</w:t>
      </w:r>
      <w:proofErr w:type="spellEnd"/>
      <w:r w:rsidRPr="0058571C">
        <w:t xml:space="preserve"> </w:t>
      </w:r>
      <w:proofErr w:type="spellStart"/>
      <w:r w:rsidRPr="0058571C">
        <w:t>các</w:t>
      </w:r>
      <w:proofErr w:type="spellEnd"/>
      <w:r w:rsidRPr="0058571C">
        <w:t xml:space="preserve"> </w:t>
      </w:r>
      <w:proofErr w:type="spellStart"/>
      <w:r w:rsidRPr="0058571C">
        <w:t>cổ</w:t>
      </w:r>
      <w:proofErr w:type="spellEnd"/>
      <w:r w:rsidRPr="0058571C">
        <w:t xml:space="preserve"> </w:t>
      </w:r>
      <w:proofErr w:type="spellStart"/>
      <w:r w:rsidRPr="0058571C">
        <w:t>đông</w:t>
      </w:r>
      <w:proofErr w:type="spellEnd"/>
      <w:r w:rsidRPr="0058571C">
        <w:t xml:space="preserve">, </w:t>
      </w:r>
      <w:proofErr w:type="spellStart"/>
      <w:r w:rsidRPr="0058571C">
        <w:t>nhà</w:t>
      </w:r>
      <w:proofErr w:type="spellEnd"/>
      <w:r w:rsidRPr="0058571C">
        <w:t xml:space="preserve"> </w:t>
      </w:r>
      <w:proofErr w:type="spellStart"/>
      <w:r w:rsidRPr="0058571C">
        <w:t>đầu</w:t>
      </w:r>
      <w:proofErr w:type="spellEnd"/>
      <w:r w:rsidRPr="0058571C">
        <w:t xml:space="preserve"> </w:t>
      </w:r>
      <w:proofErr w:type="spellStart"/>
      <w:r w:rsidRPr="0058571C">
        <w:t>tư</w:t>
      </w:r>
      <w:proofErr w:type="spellEnd"/>
      <w:r w:rsidRPr="0058571C">
        <w:t xml:space="preserve">, </w:t>
      </w:r>
      <w:proofErr w:type="spellStart"/>
      <w:r w:rsidRPr="0058571C">
        <w:t>người</w:t>
      </w:r>
      <w:proofErr w:type="spellEnd"/>
      <w:r w:rsidRPr="0058571C">
        <w:t xml:space="preserve"> </w:t>
      </w:r>
      <w:proofErr w:type="spellStart"/>
      <w:r w:rsidRPr="0058571C">
        <w:t>cho</w:t>
      </w:r>
      <w:proofErr w:type="spellEnd"/>
      <w:r w:rsidRPr="0058571C">
        <w:t xml:space="preserve"> </w:t>
      </w:r>
      <w:proofErr w:type="spellStart"/>
      <w:r w:rsidRPr="0058571C">
        <w:t>vay</w:t>
      </w:r>
      <w:proofErr w:type="spellEnd"/>
      <w:r w:rsidRPr="0058571C">
        <w:t xml:space="preserve"> </w:t>
      </w:r>
      <w:proofErr w:type="spellStart"/>
      <w:r w:rsidRPr="0058571C">
        <w:t>và</w:t>
      </w:r>
      <w:proofErr w:type="spellEnd"/>
      <w:r w:rsidRPr="0058571C">
        <w:t xml:space="preserve"> </w:t>
      </w:r>
      <w:proofErr w:type="spellStart"/>
      <w:r w:rsidRPr="0058571C">
        <w:t>các</w:t>
      </w:r>
      <w:proofErr w:type="spellEnd"/>
      <w:r w:rsidRPr="0058571C">
        <w:t xml:space="preserve"> </w:t>
      </w:r>
      <w:proofErr w:type="spellStart"/>
      <w:r w:rsidRPr="0058571C">
        <w:t>bên</w:t>
      </w:r>
      <w:proofErr w:type="spellEnd"/>
      <w:r w:rsidRPr="0058571C">
        <w:t xml:space="preserve"> </w:t>
      </w:r>
      <w:proofErr w:type="spellStart"/>
      <w:r w:rsidRPr="0058571C">
        <w:t>có</w:t>
      </w:r>
      <w:proofErr w:type="spellEnd"/>
      <w:r w:rsidRPr="0058571C">
        <w:t xml:space="preserve"> </w:t>
      </w:r>
      <w:proofErr w:type="spellStart"/>
      <w:r w:rsidRPr="0058571C">
        <w:t>lợi</w:t>
      </w:r>
      <w:proofErr w:type="spellEnd"/>
      <w:r w:rsidRPr="0058571C">
        <w:t xml:space="preserve"> </w:t>
      </w:r>
      <w:proofErr w:type="spellStart"/>
      <w:r w:rsidRPr="0058571C">
        <w:t>ích</w:t>
      </w:r>
      <w:proofErr w:type="spellEnd"/>
      <w:r w:rsidRPr="0058571C">
        <w:t xml:space="preserve"> </w:t>
      </w:r>
      <w:proofErr w:type="spellStart"/>
      <w:r w:rsidRPr="0058571C">
        <w:t>liên</w:t>
      </w:r>
      <w:proofErr w:type="spellEnd"/>
      <w:r w:rsidRPr="0058571C">
        <w:t xml:space="preserve"> </w:t>
      </w:r>
      <w:proofErr w:type="spellStart"/>
      <w:r w:rsidRPr="0058571C">
        <w:t>quan</w:t>
      </w:r>
      <w:proofErr w:type="spellEnd"/>
      <w:r w:rsidRPr="0058571C">
        <w:t xml:space="preserve"> </w:t>
      </w:r>
      <w:proofErr w:type="spellStart"/>
      <w:r w:rsidRPr="0058571C">
        <w:t>đến</w:t>
      </w:r>
      <w:proofErr w:type="spellEnd"/>
      <w:r w:rsidRPr="0058571C">
        <w:t xml:space="preserve"> </w:t>
      </w:r>
      <w:proofErr w:type="spellStart"/>
      <w:r w:rsidRPr="0058571C">
        <w:t>doanh</w:t>
      </w:r>
      <w:proofErr w:type="spellEnd"/>
      <w:r w:rsidRPr="0058571C">
        <w:t xml:space="preserve"> </w:t>
      </w:r>
      <w:proofErr w:type="spellStart"/>
      <w:r w:rsidRPr="0058571C">
        <w:t>nghiệp</w:t>
      </w:r>
      <w:proofErr w:type="spellEnd"/>
      <w:r w:rsidRPr="0058571C">
        <w:t>.</w:t>
      </w:r>
      <w:proofErr w:type="gramEnd"/>
      <w:r w:rsidRPr="0058571C">
        <w:t xml:space="preserve"> </w:t>
      </w:r>
      <w:proofErr w:type="spellStart"/>
      <w:proofErr w:type="gramStart"/>
      <w:r w:rsidRPr="0058571C">
        <w:t>Hiện</w:t>
      </w:r>
      <w:proofErr w:type="spellEnd"/>
      <w:r w:rsidRPr="0058571C">
        <w:t xml:space="preserve"> nay, </w:t>
      </w:r>
      <w:proofErr w:type="spellStart"/>
      <w:r w:rsidRPr="0058571C">
        <w:t>các</w:t>
      </w:r>
      <w:proofErr w:type="spellEnd"/>
      <w:r w:rsidRPr="0058571C">
        <w:t xml:space="preserve"> </w:t>
      </w:r>
      <w:proofErr w:type="spellStart"/>
      <w:r w:rsidRPr="0058571C">
        <w:t>phương</w:t>
      </w:r>
      <w:proofErr w:type="spellEnd"/>
      <w:r w:rsidRPr="0058571C">
        <w:t xml:space="preserve"> </w:t>
      </w:r>
      <w:proofErr w:type="spellStart"/>
      <w:r w:rsidRPr="0058571C">
        <w:t>pháp</w:t>
      </w:r>
      <w:proofErr w:type="spellEnd"/>
      <w:r w:rsidRPr="0058571C">
        <w:t xml:space="preserve"> </w:t>
      </w:r>
      <w:proofErr w:type="spellStart"/>
      <w:r w:rsidRPr="0058571C">
        <w:t>phổ</w:t>
      </w:r>
      <w:proofErr w:type="spellEnd"/>
      <w:r w:rsidRPr="0058571C">
        <w:t xml:space="preserve"> </w:t>
      </w:r>
      <w:proofErr w:type="spellStart"/>
      <w:r w:rsidRPr="0058571C">
        <w:t>biến</w:t>
      </w:r>
      <w:proofErr w:type="spellEnd"/>
      <w:r w:rsidRPr="0058571C">
        <w:t xml:space="preserve"> </w:t>
      </w:r>
      <w:proofErr w:type="spellStart"/>
      <w:r w:rsidRPr="0058571C">
        <w:t>được</w:t>
      </w:r>
      <w:proofErr w:type="spellEnd"/>
      <w:r w:rsidRPr="0058571C">
        <w:t xml:space="preserve"> </w:t>
      </w:r>
      <w:proofErr w:type="spellStart"/>
      <w:r w:rsidRPr="0058571C">
        <w:t>áp</w:t>
      </w:r>
      <w:proofErr w:type="spellEnd"/>
      <w:r w:rsidRPr="0058571C">
        <w:t xml:space="preserve"> </w:t>
      </w:r>
      <w:proofErr w:type="spellStart"/>
      <w:r w:rsidRPr="0058571C">
        <w:t>dụng</w:t>
      </w:r>
      <w:proofErr w:type="spellEnd"/>
      <w:r w:rsidRPr="0058571C">
        <w:t xml:space="preserve"> </w:t>
      </w:r>
      <w:proofErr w:type="spellStart"/>
      <w:r w:rsidRPr="0058571C">
        <w:t>để</w:t>
      </w:r>
      <w:proofErr w:type="spellEnd"/>
      <w:r w:rsidRPr="0058571C">
        <w:t xml:space="preserve"> </w:t>
      </w:r>
      <w:proofErr w:type="spellStart"/>
      <w:r w:rsidRPr="0058571C">
        <w:t>ước</w:t>
      </w:r>
      <w:proofErr w:type="spellEnd"/>
      <w:r w:rsidRPr="0058571C">
        <w:t xml:space="preserve"> </w:t>
      </w:r>
      <w:proofErr w:type="spellStart"/>
      <w:r w:rsidRPr="0058571C">
        <w:t>tính</w:t>
      </w:r>
      <w:proofErr w:type="spellEnd"/>
      <w:r w:rsidRPr="0058571C">
        <w:t xml:space="preserve"> </w:t>
      </w:r>
      <w:proofErr w:type="spellStart"/>
      <w:r w:rsidRPr="0058571C">
        <w:t>giá</w:t>
      </w:r>
      <w:proofErr w:type="spellEnd"/>
      <w:r w:rsidRPr="0058571C">
        <w:t xml:space="preserve"> </w:t>
      </w:r>
      <w:proofErr w:type="spellStart"/>
      <w:r w:rsidRPr="0058571C">
        <w:t>trị</w:t>
      </w:r>
      <w:proofErr w:type="spellEnd"/>
      <w:r w:rsidRPr="0058571C">
        <w:t xml:space="preserve"> </w:t>
      </w:r>
      <w:proofErr w:type="spellStart"/>
      <w:r w:rsidRPr="0058571C">
        <w:t>nội</w:t>
      </w:r>
      <w:proofErr w:type="spellEnd"/>
      <w:r w:rsidRPr="0058571C">
        <w:t xml:space="preserve"> </w:t>
      </w:r>
      <w:proofErr w:type="spellStart"/>
      <w:r w:rsidRPr="0058571C">
        <w:t>tại</w:t>
      </w:r>
      <w:proofErr w:type="spellEnd"/>
      <w:r w:rsidRPr="0058571C">
        <w:t xml:space="preserve"> </w:t>
      </w:r>
      <w:proofErr w:type="spellStart"/>
      <w:r w:rsidRPr="0058571C">
        <w:t>của</w:t>
      </w:r>
      <w:proofErr w:type="spellEnd"/>
      <w:r w:rsidRPr="0058571C">
        <w:t xml:space="preserve"> </w:t>
      </w:r>
      <w:proofErr w:type="spellStart"/>
      <w:r w:rsidRPr="0058571C">
        <w:t>doanh</w:t>
      </w:r>
      <w:proofErr w:type="spellEnd"/>
      <w:r w:rsidRPr="0058571C">
        <w:t xml:space="preserve"> </w:t>
      </w:r>
      <w:proofErr w:type="spellStart"/>
      <w:r w:rsidRPr="0058571C">
        <w:t>nghiệp</w:t>
      </w:r>
      <w:proofErr w:type="spellEnd"/>
      <w:r w:rsidRPr="0058571C">
        <w:t xml:space="preserve"> </w:t>
      </w:r>
      <w:proofErr w:type="spellStart"/>
      <w:r w:rsidRPr="0058571C">
        <w:t>là</w:t>
      </w:r>
      <w:proofErr w:type="spellEnd"/>
      <w:r w:rsidRPr="0058571C">
        <w:t xml:space="preserve"> DDM, RIM, DCM, and </w:t>
      </w:r>
      <w:proofErr w:type="spellStart"/>
      <w:r w:rsidRPr="0058571C">
        <w:t>Ohlson-Juettner</w:t>
      </w:r>
      <w:proofErr w:type="spellEnd"/>
      <w:r w:rsidRPr="0058571C">
        <w:t xml:space="preserve"> model.</w:t>
      </w:r>
      <w:proofErr w:type="gramEnd"/>
      <w:r w:rsidRPr="0058571C">
        <w:t xml:space="preserve"> </w:t>
      </w:r>
      <w:proofErr w:type="spellStart"/>
      <w:proofErr w:type="gramStart"/>
      <w:r w:rsidRPr="0058571C">
        <w:t>Nghiên</w:t>
      </w:r>
      <w:proofErr w:type="spellEnd"/>
      <w:r w:rsidRPr="0058571C">
        <w:t xml:space="preserve"> </w:t>
      </w:r>
      <w:proofErr w:type="spellStart"/>
      <w:r w:rsidRPr="0058571C">
        <w:t>cứu</w:t>
      </w:r>
      <w:proofErr w:type="spellEnd"/>
      <w:r w:rsidRPr="0058571C">
        <w:t xml:space="preserve"> </w:t>
      </w:r>
      <w:proofErr w:type="spellStart"/>
      <w:r w:rsidRPr="0058571C">
        <w:t>này</w:t>
      </w:r>
      <w:proofErr w:type="spellEnd"/>
      <w:r w:rsidRPr="0058571C">
        <w:t xml:space="preserve"> </w:t>
      </w:r>
      <w:proofErr w:type="spellStart"/>
      <w:r w:rsidRPr="0058571C">
        <w:t>cung</w:t>
      </w:r>
      <w:proofErr w:type="spellEnd"/>
      <w:r w:rsidRPr="0058571C">
        <w:t xml:space="preserve"> </w:t>
      </w:r>
      <w:proofErr w:type="spellStart"/>
      <w:r w:rsidRPr="0058571C">
        <w:t>cấp</w:t>
      </w:r>
      <w:proofErr w:type="spellEnd"/>
      <w:r w:rsidRPr="0058571C">
        <w:t xml:space="preserve"> </w:t>
      </w:r>
      <w:proofErr w:type="spellStart"/>
      <w:r w:rsidRPr="0058571C">
        <w:t>tổng</w:t>
      </w:r>
      <w:proofErr w:type="spellEnd"/>
      <w:r w:rsidRPr="0058571C">
        <w:t xml:space="preserve"> </w:t>
      </w:r>
      <w:proofErr w:type="spellStart"/>
      <w:r w:rsidRPr="0058571C">
        <w:t>quan</w:t>
      </w:r>
      <w:proofErr w:type="spellEnd"/>
      <w:r w:rsidRPr="0058571C">
        <w:t xml:space="preserve"> </w:t>
      </w:r>
      <w:proofErr w:type="spellStart"/>
      <w:r w:rsidRPr="0058571C">
        <w:t>về</w:t>
      </w:r>
      <w:proofErr w:type="spellEnd"/>
      <w:r w:rsidRPr="0058571C">
        <w:t xml:space="preserve"> </w:t>
      </w:r>
      <w:proofErr w:type="spellStart"/>
      <w:r w:rsidRPr="0058571C">
        <w:t>các</w:t>
      </w:r>
      <w:proofErr w:type="spellEnd"/>
      <w:r w:rsidRPr="0058571C">
        <w:t xml:space="preserve"> </w:t>
      </w:r>
      <w:proofErr w:type="spellStart"/>
      <w:r w:rsidRPr="0058571C">
        <w:t>phương</w:t>
      </w:r>
      <w:proofErr w:type="spellEnd"/>
      <w:r w:rsidRPr="0058571C">
        <w:t xml:space="preserve"> </w:t>
      </w:r>
      <w:proofErr w:type="spellStart"/>
      <w:r w:rsidRPr="0058571C">
        <w:t>pháp</w:t>
      </w:r>
      <w:proofErr w:type="spellEnd"/>
      <w:r w:rsidRPr="0058571C">
        <w:t xml:space="preserve"> </w:t>
      </w:r>
      <w:proofErr w:type="spellStart"/>
      <w:r w:rsidRPr="0058571C">
        <w:t>định</w:t>
      </w:r>
      <w:proofErr w:type="spellEnd"/>
      <w:r w:rsidRPr="0058571C">
        <w:t xml:space="preserve"> </w:t>
      </w:r>
      <w:proofErr w:type="spellStart"/>
      <w:r w:rsidRPr="0058571C">
        <w:t>giá</w:t>
      </w:r>
      <w:proofErr w:type="spellEnd"/>
      <w:r w:rsidRPr="0058571C">
        <w:t xml:space="preserve"> </w:t>
      </w:r>
      <w:proofErr w:type="spellStart"/>
      <w:r w:rsidRPr="0058571C">
        <w:t>doanh</w:t>
      </w:r>
      <w:proofErr w:type="spellEnd"/>
      <w:r w:rsidRPr="0058571C">
        <w:t xml:space="preserve"> </w:t>
      </w:r>
      <w:proofErr w:type="spellStart"/>
      <w:r w:rsidRPr="0058571C">
        <w:t>nghiệp</w:t>
      </w:r>
      <w:proofErr w:type="spellEnd"/>
      <w:r w:rsidRPr="0058571C">
        <w:t>.</w:t>
      </w:r>
      <w:proofErr w:type="gramEnd"/>
      <w:r w:rsidRPr="0058571C">
        <w:t xml:space="preserve"> </w:t>
      </w:r>
      <w:proofErr w:type="spellStart"/>
      <w:r w:rsidRPr="0058571C">
        <w:t>Trên</w:t>
      </w:r>
      <w:proofErr w:type="spellEnd"/>
      <w:r w:rsidRPr="0058571C">
        <w:t xml:space="preserve"> </w:t>
      </w:r>
      <w:proofErr w:type="spellStart"/>
      <w:r w:rsidRPr="0058571C">
        <w:t>cơ</w:t>
      </w:r>
      <w:proofErr w:type="spellEnd"/>
      <w:r w:rsidRPr="0058571C">
        <w:t xml:space="preserve"> </w:t>
      </w:r>
      <w:proofErr w:type="spellStart"/>
      <w:r w:rsidRPr="0058571C">
        <w:t>sở</w:t>
      </w:r>
      <w:proofErr w:type="spellEnd"/>
      <w:r w:rsidRPr="0058571C">
        <w:t xml:space="preserve"> </w:t>
      </w:r>
      <w:proofErr w:type="spellStart"/>
      <w:r w:rsidRPr="0058571C">
        <w:t>đó</w:t>
      </w:r>
      <w:proofErr w:type="spellEnd"/>
      <w:r w:rsidRPr="0058571C">
        <w:t xml:space="preserve">, </w:t>
      </w:r>
      <w:proofErr w:type="spellStart"/>
      <w:r w:rsidRPr="0058571C">
        <w:t>nghiên</w:t>
      </w:r>
      <w:proofErr w:type="spellEnd"/>
      <w:r w:rsidRPr="0058571C">
        <w:t xml:space="preserve"> </w:t>
      </w:r>
      <w:proofErr w:type="spellStart"/>
      <w:r w:rsidRPr="0058571C">
        <w:t>cứu</w:t>
      </w:r>
      <w:proofErr w:type="spellEnd"/>
      <w:r w:rsidRPr="0058571C">
        <w:t xml:space="preserve"> </w:t>
      </w:r>
      <w:proofErr w:type="spellStart"/>
      <w:r w:rsidRPr="0058571C">
        <w:t>này</w:t>
      </w:r>
      <w:proofErr w:type="spellEnd"/>
      <w:r w:rsidRPr="0058571C">
        <w:t xml:space="preserve"> </w:t>
      </w:r>
      <w:proofErr w:type="spellStart"/>
      <w:r w:rsidRPr="0058571C">
        <w:t>phân</w:t>
      </w:r>
      <w:proofErr w:type="spellEnd"/>
      <w:r w:rsidRPr="0058571C">
        <w:t xml:space="preserve"> </w:t>
      </w:r>
      <w:proofErr w:type="spellStart"/>
      <w:r w:rsidRPr="0058571C">
        <w:t>tích</w:t>
      </w:r>
      <w:proofErr w:type="spellEnd"/>
      <w:r w:rsidRPr="0058571C">
        <w:t xml:space="preserve"> </w:t>
      </w:r>
      <w:proofErr w:type="spellStart"/>
      <w:r w:rsidRPr="0058571C">
        <w:t>và</w:t>
      </w:r>
      <w:proofErr w:type="spellEnd"/>
      <w:r w:rsidRPr="0058571C">
        <w:t xml:space="preserve"> </w:t>
      </w:r>
      <w:proofErr w:type="spellStart"/>
      <w:r w:rsidRPr="0058571C">
        <w:t>đưa</w:t>
      </w:r>
      <w:proofErr w:type="spellEnd"/>
      <w:r w:rsidRPr="0058571C">
        <w:t xml:space="preserve"> </w:t>
      </w:r>
      <w:proofErr w:type="spellStart"/>
      <w:r w:rsidRPr="0058571C">
        <w:t>ra</w:t>
      </w:r>
      <w:proofErr w:type="spellEnd"/>
      <w:r w:rsidRPr="0058571C">
        <w:t xml:space="preserve"> </w:t>
      </w:r>
      <w:proofErr w:type="spellStart"/>
      <w:r w:rsidRPr="0058571C">
        <w:t>mô</w:t>
      </w:r>
      <w:proofErr w:type="spellEnd"/>
      <w:r w:rsidRPr="0058571C">
        <w:t xml:space="preserve"> </w:t>
      </w:r>
      <w:proofErr w:type="spellStart"/>
      <w:r w:rsidRPr="0058571C">
        <w:t>hình</w:t>
      </w:r>
      <w:proofErr w:type="spellEnd"/>
      <w:r w:rsidRPr="0058571C">
        <w:t xml:space="preserve"> </w:t>
      </w:r>
      <w:proofErr w:type="spellStart"/>
      <w:r w:rsidRPr="0058571C">
        <w:t>tổng</w:t>
      </w:r>
      <w:proofErr w:type="spellEnd"/>
      <w:r w:rsidRPr="0058571C">
        <w:t xml:space="preserve"> </w:t>
      </w:r>
      <w:proofErr w:type="spellStart"/>
      <w:r w:rsidRPr="0058571C">
        <w:t>quát</w:t>
      </w:r>
      <w:proofErr w:type="spellEnd"/>
      <w:r w:rsidRPr="0058571C">
        <w:t xml:space="preserve"> </w:t>
      </w:r>
      <w:proofErr w:type="spellStart"/>
      <w:r w:rsidRPr="0058571C">
        <w:t>về</w:t>
      </w:r>
      <w:proofErr w:type="spellEnd"/>
      <w:r w:rsidRPr="0058571C">
        <w:t xml:space="preserve"> </w:t>
      </w:r>
      <w:proofErr w:type="spellStart"/>
      <w:r w:rsidRPr="0058571C">
        <w:t>định</w:t>
      </w:r>
      <w:proofErr w:type="spellEnd"/>
      <w:r w:rsidRPr="0058571C">
        <w:t xml:space="preserve"> </w:t>
      </w:r>
      <w:proofErr w:type="spellStart"/>
      <w:r w:rsidRPr="0058571C">
        <w:t>giá</w:t>
      </w:r>
      <w:proofErr w:type="spellEnd"/>
      <w:r w:rsidRPr="0058571C">
        <w:t xml:space="preserve"> </w:t>
      </w:r>
      <w:proofErr w:type="spellStart"/>
      <w:r w:rsidRPr="0058571C">
        <w:t>doanh</w:t>
      </w:r>
      <w:proofErr w:type="spellEnd"/>
      <w:r w:rsidRPr="0058571C">
        <w:t xml:space="preserve"> </w:t>
      </w:r>
      <w:proofErr w:type="spellStart"/>
      <w:r w:rsidRPr="0058571C">
        <w:t>nghiệp</w:t>
      </w:r>
      <w:proofErr w:type="spellEnd"/>
      <w:r w:rsidRPr="0058571C">
        <w:t xml:space="preserve">, </w:t>
      </w:r>
      <w:proofErr w:type="spellStart"/>
      <w:r w:rsidRPr="0058571C">
        <w:t>đồng</w:t>
      </w:r>
      <w:proofErr w:type="spellEnd"/>
      <w:r w:rsidRPr="0058571C">
        <w:t xml:space="preserve"> </w:t>
      </w:r>
      <w:proofErr w:type="spellStart"/>
      <w:r w:rsidRPr="0058571C">
        <w:t>thời</w:t>
      </w:r>
      <w:proofErr w:type="spellEnd"/>
      <w:r w:rsidRPr="0058571C">
        <w:t xml:space="preserve">, </w:t>
      </w:r>
      <w:proofErr w:type="spellStart"/>
      <w:r w:rsidRPr="0058571C">
        <w:t>nghiên</w:t>
      </w:r>
      <w:proofErr w:type="spellEnd"/>
      <w:r w:rsidRPr="0058571C">
        <w:t xml:space="preserve"> </w:t>
      </w:r>
      <w:proofErr w:type="spellStart"/>
      <w:r w:rsidRPr="0058571C">
        <w:t>cứu</w:t>
      </w:r>
      <w:proofErr w:type="spellEnd"/>
      <w:r w:rsidRPr="0058571C">
        <w:t xml:space="preserve"> </w:t>
      </w:r>
      <w:proofErr w:type="spellStart"/>
      <w:r w:rsidRPr="0058571C">
        <w:t>này</w:t>
      </w:r>
      <w:proofErr w:type="spellEnd"/>
      <w:r w:rsidRPr="0058571C">
        <w:t xml:space="preserve"> </w:t>
      </w:r>
      <w:proofErr w:type="spellStart"/>
      <w:r w:rsidRPr="0058571C">
        <w:t>chỉ</w:t>
      </w:r>
      <w:proofErr w:type="spellEnd"/>
      <w:r w:rsidRPr="0058571C">
        <w:t xml:space="preserve"> </w:t>
      </w:r>
      <w:proofErr w:type="spellStart"/>
      <w:r w:rsidRPr="0058571C">
        <w:t>rõ</w:t>
      </w:r>
      <w:proofErr w:type="spellEnd"/>
      <w:r w:rsidRPr="0058571C">
        <w:t xml:space="preserve"> </w:t>
      </w:r>
      <w:proofErr w:type="spellStart"/>
      <w:r w:rsidRPr="0058571C">
        <w:t>cách</w:t>
      </w:r>
      <w:proofErr w:type="spellEnd"/>
      <w:r w:rsidRPr="0058571C">
        <w:t xml:space="preserve"> </w:t>
      </w:r>
      <w:proofErr w:type="spellStart"/>
      <w:r w:rsidRPr="0058571C">
        <w:t>thức</w:t>
      </w:r>
      <w:proofErr w:type="spellEnd"/>
      <w:r w:rsidRPr="0058571C">
        <w:t xml:space="preserve"> </w:t>
      </w:r>
      <w:proofErr w:type="spellStart"/>
      <w:r w:rsidRPr="0058571C">
        <w:t>để</w:t>
      </w:r>
      <w:proofErr w:type="spellEnd"/>
      <w:r w:rsidRPr="0058571C">
        <w:t xml:space="preserve"> </w:t>
      </w:r>
      <w:proofErr w:type="spellStart"/>
      <w:r w:rsidRPr="0058571C">
        <w:t>cụ</w:t>
      </w:r>
      <w:proofErr w:type="spellEnd"/>
      <w:r w:rsidRPr="0058571C">
        <w:t xml:space="preserve"> </w:t>
      </w:r>
      <w:proofErr w:type="spellStart"/>
      <w:r w:rsidRPr="0058571C">
        <w:t>thể</w:t>
      </w:r>
      <w:proofErr w:type="spellEnd"/>
      <w:r w:rsidRPr="0058571C">
        <w:t xml:space="preserve"> </w:t>
      </w:r>
      <w:proofErr w:type="spellStart"/>
      <w:r w:rsidRPr="0058571C">
        <w:t>hóa</w:t>
      </w:r>
      <w:proofErr w:type="spellEnd"/>
      <w:r w:rsidRPr="0058571C">
        <w:t xml:space="preserve"> </w:t>
      </w:r>
      <w:proofErr w:type="spellStart"/>
      <w:r w:rsidRPr="0058571C">
        <w:t>các</w:t>
      </w:r>
      <w:proofErr w:type="spellEnd"/>
      <w:r w:rsidRPr="0058571C">
        <w:t xml:space="preserve"> </w:t>
      </w:r>
      <w:proofErr w:type="spellStart"/>
      <w:r w:rsidRPr="0058571C">
        <w:t>thành</w:t>
      </w:r>
      <w:proofErr w:type="spellEnd"/>
      <w:r w:rsidRPr="0058571C">
        <w:t xml:space="preserve"> </w:t>
      </w:r>
      <w:proofErr w:type="spellStart"/>
      <w:r w:rsidRPr="0058571C">
        <w:t>phần</w:t>
      </w:r>
      <w:proofErr w:type="spellEnd"/>
      <w:r w:rsidRPr="0058571C">
        <w:t xml:space="preserve"> </w:t>
      </w:r>
      <w:proofErr w:type="spellStart"/>
      <w:r w:rsidRPr="0058571C">
        <w:t>và</w:t>
      </w:r>
      <w:proofErr w:type="spellEnd"/>
      <w:r w:rsidRPr="0058571C">
        <w:t xml:space="preserve"> </w:t>
      </w:r>
      <w:proofErr w:type="spellStart"/>
      <w:r w:rsidRPr="0058571C">
        <w:t>các</w:t>
      </w:r>
      <w:proofErr w:type="spellEnd"/>
      <w:r w:rsidRPr="0058571C">
        <w:t xml:space="preserve"> </w:t>
      </w:r>
      <w:proofErr w:type="spellStart"/>
      <w:r w:rsidRPr="0058571C">
        <w:t>biến</w:t>
      </w:r>
      <w:proofErr w:type="spellEnd"/>
      <w:r w:rsidRPr="0058571C">
        <w:t xml:space="preserve"> </w:t>
      </w:r>
      <w:proofErr w:type="spellStart"/>
      <w:r w:rsidRPr="0058571C">
        <w:t>trong</w:t>
      </w:r>
      <w:proofErr w:type="spellEnd"/>
      <w:r w:rsidRPr="0058571C">
        <w:t xml:space="preserve"> </w:t>
      </w:r>
      <w:proofErr w:type="spellStart"/>
      <w:r w:rsidRPr="0058571C">
        <w:t>mô</w:t>
      </w:r>
      <w:proofErr w:type="spellEnd"/>
      <w:r w:rsidRPr="0058571C">
        <w:t xml:space="preserve"> </w:t>
      </w:r>
      <w:proofErr w:type="spellStart"/>
      <w:r w:rsidRPr="0058571C">
        <w:t>hình</w:t>
      </w:r>
      <w:proofErr w:type="spellEnd"/>
      <w:r w:rsidRPr="0058571C">
        <w:t xml:space="preserve"> </w:t>
      </w:r>
      <w:proofErr w:type="spellStart"/>
      <w:r w:rsidRPr="0058571C">
        <w:t>định</w:t>
      </w:r>
      <w:proofErr w:type="spellEnd"/>
      <w:r w:rsidRPr="0058571C">
        <w:t xml:space="preserve"> </w:t>
      </w:r>
      <w:proofErr w:type="spellStart"/>
      <w:r w:rsidRPr="0058571C">
        <w:t>giá</w:t>
      </w:r>
      <w:proofErr w:type="spellEnd"/>
      <w:r w:rsidRPr="0058571C">
        <w:t xml:space="preserve"> </w:t>
      </w:r>
      <w:proofErr w:type="spellStart"/>
      <w:r w:rsidRPr="0058571C">
        <w:t>doanh</w:t>
      </w:r>
      <w:proofErr w:type="spellEnd"/>
      <w:r w:rsidRPr="0058571C">
        <w:t xml:space="preserve"> </w:t>
      </w:r>
      <w:proofErr w:type="spellStart"/>
      <w:r w:rsidRPr="0058571C">
        <w:t>nghiệp</w:t>
      </w:r>
      <w:proofErr w:type="spellEnd"/>
      <w:r w:rsidRPr="0058571C">
        <w:t xml:space="preserve">. </w:t>
      </w:r>
      <w:proofErr w:type="spellStart"/>
      <w:proofErr w:type="gramStart"/>
      <w:r w:rsidRPr="0058571C">
        <w:t>Nghiên</w:t>
      </w:r>
      <w:proofErr w:type="spellEnd"/>
      <w:r w:rsidRPr="0058571C">
        <w:t xml:space="preserve"> </w:t>
      </w:r>
      <w:proofErr w:type="spellStart"/>
      <w:r w:rsidRPr="0058571C">
        <w:t>cứu</w:t>
      </w:r>
      <w:proofErr w:type="spellEnd"/>
      <w:r w:rsidRPr="0058571C">
        <w:t xml:space="preserve"> </w:t>
      </w:r>
      <w:proofErr w:type="spellStart"/>
      <w:r w:rsidRPr="0058571C">
        <w:t>này</w:t>
      </w:r>
      <w:proofErr w:type="spellEnd"/>
      <w:r w:rsidRPr="0058571C">
        <w:t xml:space="preserve"> </w:t>
      </w:r>
      <w:proofErr w:type="spellStart"/>
      <w:r w:rsidRPr="0058571C">
        <w:t>giúp</w:t>
      </w:r>
      <w:proofErr w:type="spellEnd"/>
      <w:r w:rsidRPr="0058571C">
        <w:t xml:space="preserve"> </w:t>
      </w:r>
      <w:proofErr w:type="spellStart"/>
      <w:r w:rsidRPr="0058571C">
        <w:t>làm</w:t>
      </w:r>
      <w:proofErr w:type="spellEnd"/>
      <w:r w:rsidRPr="0058571C">
        <w:t xml:space="preserve"> </w:t>
      </w:r>
      <w:proofErr w:type="spellStart"/>
      <w:r w:rsidRPr="0058571C">
        <w:t>rõ</w:t>
      </w:r>
      <w:proofErr w:type="spellEnd"/>
      <w:r w:rsidRPr="0058571C">
        <w:t xml:space="preserve"> </w:t>
      </w:r>
      <w:proofErr w:type="spellStart"/>
      <w:r w:rsidRPr="0058571C">
        <w:t>bản</w:t>
      </w:r>
      <w:proofErr w:type="spellEnd"/>
      <w:r w:rsidRPr="0058571C">
        <w:t xml:space="preserve"> </w:t>
      </w:r>
      <w:proofErr w:type="spellStart"/>
      <w:r w:rsidRPr="0058571C">
        <w:t>chất</w:t>
      </w:r>
      <w:proofErr w:type="spellEnd"/>
      <w:r w:rsidRPr="0058571C">
        <w:t xml:space="preserve"> </w:t>
      </w:r>
      <w:proofErr w:type="spellStart"/>
      <w:r w:rsidRPr="0058571C">
        <w:t>của</w:t>
      </w:r>
      <w:proofErr w:type="spellEnd"/>
      <w:r w:rsidRPr="0058571C">
        <w:t xml:space="preserve"> </w:t>
      </w:r>
      <w:proofErr w:type="spellStart"/>
      <w:r w:rsidRPr="0058571C">
        <w:t>việc</w:t>
      </w:r>
      <w:proofErr w:type="spellEnd"/>
      <w:r w:rsidRPr="0058571C">
        <w:t xml:space="preserve"> </w:t>
      </w:r>
      <w:proofErr w:type="spellStart"/>
      <w:r w:rsidRPr="0058571C">
        <w:t>xây</w:t>
      </w:r>
      <w:proofErr w:type="spellEnd"/>
      <w:r w:rsidRPr="0058571C">
        <w:t xml:space="preserve"> </w:t>
      </w:r>
      <w:proofErr w:type="spellStart"/>
      <w:r w:rsidRPr="0058571C">
        <w:t>dựng</w:t>
      </w:r>
      <w:proofErr w:type="spellEnd"/>
      <w:r w:rsidRPr="0058571C">
        <w:t xml:space="preserve"> </w:t>
      </w:r>
      <w:proofErr w:type="spellStart"/>
      <w:r w:rsidRPr="0058571C">
        <w:t>một</w:t>
      </w:r>
      <w:proofErr w:type="spellEnd"/>
      <w:r w:rsidRPr="0058571C">
        <w:t xml:space="preserve"> </w:t>
      </w:r>
      <w:proofErr w:type="spellStart"/>
      <w:r w:rsidRPr="0058571C">
        <w:t>mô</w:t>
      </w:r>
      <w:proofErr w:type="spellEnd"/>
      <w:r w:rsidRPr="0058571C">
        <w:t xml:space="preserve"> </w:t>
      </w:r>
      <w:proofErr w:type="spellStart"/>
      <w:r w:rsidRPr="0058571C">
        <w:t>hình</w:t>
      </w:r>
      <w:proofErr w:type="spellEnd"/>
      <w:r w:rsidRPr="0058571C">
        <w:t xml:space="preserve"> </w:t>
      </w:r>
      <w:proofErr w:type="spellStart"/>
      <w:r w:rsidRPr="0058571C">
        <w:t>định</w:t>
      </w:r>
      <w:proofErr w:type="spellEnd"/>
      <w:r w:rsidRPr="0058571C">
        <w:t xml:space="preserve"> </w:t>
      </w:r>
      <w:proofErr w:type="spellStart"/>
      <w:r w:rsidRPr="0058571C">
        <w:t>giá</w:t>
      </w:r>
      <w:proofErr w:type="spellEnd"/>
      <w:r w:rsidRPr="0058571C">
        <w:t xml:space="preserve"> </w:t>
      </w:r>
      <w:proofErr w:type="spellStart"/>
      <w:r w:rsidRPr="0058571C">
        <w:t>doanh</w:t>
      </w:r>
      <w:proofErr w:type="spellEnd"/>
      <w:r w:rsidRPr="0058571C">
        <w:t xml:space="preserve"> </w:t>
      </w:r>
      <w:proofErr w:type="spellStart"/>
      <w:r w:rsidRPr="0058571C">
        <w:t>nghiệp</w:t>
      </w:r>
      <w:proofErr w:type="spellEnd"/>
      <w:r w:rsidRPr="0058571C">
        <w:t xml:space="preserve"> </w:t>
      </w:r>
      <w:proofErr w:type="spellStart"/>
      <w:r w:rsidRPr="0058571C">
        <w:t>và</w:t>
      </w:r>
      <w:proofErr w:type="spellEnd"/>
      <w:r w:rsidRPr="0058571C">
        <w:t xml:space="preserve"> </w:t>
      </w:r>
      <w:proofErr w:type="spellStart"/>
      <w:r w:rsidRPr="0058571C">
        <w:t>rút</w:t>
      </w:r>
      <w:proofErr w:type="spellEnd"/>
      <w:r w:rsidRPr="0058571C">
        <w:t xml:space="preserve"> </w:t>
      </w:r>
      <w:proofErr w:type="spellStart"/>
      <w:r w:rsidRPr="0058571C">
        <w:t>ra</w:t>
      </w:r>
      <w:proofErr w:type="spellEnd"/>
      <w:r w:rsidRPr="0058571C">
        <w:t xml:space="preserve"> </w:t>
      </w:r>
      <w:proofErr w:type="spellStart"/>
      <w:r w:rsidRPr="0058571C">
        <w:t>các</w:t>
      </w:r>
      <w:proofErr w:type="spellEnd"/>
      <w:r w:rsidRPr="0058571C">
        <w:t xml:space="preserve"> </w:t>
      </w:r>
      <w:proofErr w:type="spellStart"/>
      <w:r w:rsidRPr="0058571C">
        <w:t>hàm</w:t>
      </w:r>
      <w:proofErr w:type="spellEnd"/>
      <w:r w:rsidRPr="0058571C">
        <w:t xml:space="preserve"> ý </w:t>
      </w:r>
      <w:proofErr w:type="spellStart"/>
      <w:r w:rsidRPr="0058571C">
        <w:t>hữu</w:t>
      </w:r>
      <w:proofErr w:type="spellEnd"/>
      <w:r w:rsidRPr="0058571C">
        <w:t xml:space="preserve"> </w:t>
      </w:r>
      <w:proofErr w:type="spellStart"/>
      <w:r w:rsidRPr="0058571C">
        <w:t>ích</w:t>
      </w:r>
      <w:proofErr w:type="spellEnd"/>
      <w:r w:rsidRPr="0058571C">
        <w:t xml:space="preserve"> </w:t>
      </w:r>
      <w:proofErr w:type="spellStart"/>
      <w:r w:rsidRPr="0058571C">
        <w:t>cho</w:t>
      </w:r>
      <w:proofErr w:type="spellEnd"/>
      <w:r w:rsidRPr="0058571C">
        <w:t xml:space="preserve"> </w:t>
      </w:r>
      <w:proofErr w:type="spellStart"/>
      <w:r w:rsidRPr="0058571C">
        <w:t>việc</w:t>
      </w:r>
      <w:proofErr w:type="spellEnd"/>
      <w:r w:rsidRPr="0058571C">
        <w:t xml:space="preserve"> </w:t>
      </w:r>
      <w:proofErr w:type="spellStart"/>
      <w:r w:rsidRPr="0058571C">
        <w:t>thiết</w:t>
      </w:r>
      <w:proofErr w:type="spellEnd"/>
      <w:r w:rsidRPr="0058571C">
        <w:t xml:space="preserve"> </w:t>
      </w:r>
      <w:proofErr w:type="spellStart"/>
      <w:r w:rsidRPr="0058571C">
        <w:t>lập</w:t>
      </w:r>
      <w:proofErr w:type="spellEnd"/>
      <w:r w:rsidRPr="0058571C">
        <w:t xml:space="preserve"> </w:t>
      </w:r>
      <w:proofErr w:type="spellStart"/>
      <w:r w:rsidRPr="0058571C">
        <w:t>mô</w:t>
      </w:r>
      <w:proofErr w:type="spellEnd"/>
      <w:r w:rsidRPr="0058571C">
        <w:t xml:space="preserve"> </w:t>
      </w:r>
      <w:proofErr w:type="spellStart"/>
      <w:r w:rsidRPr="0058571C">
        <w:t>hình</w:t>
      </w:r>
      <w:proofErr w:type="spellEnd"/>
      <w:r w:rsidRPr="0058571C">
        <w:t xml:space="preserve"> </w:t>
      </w:r>
      <w:proofErr w:type="spellStart"/>
      <w:r w:rsidRPr="0058571C">
        <w:t>định</w:t>
      </w:r>
      <w:proofErr w:type="spellEnd"/>
      <w:r w:rsidRPr="0058571C">
        <w:t xml:space="preserve"> </w:t>
      </w:r>
      <w:proofErr w:type="spellStart"/>
      <w:r w:rsidRPr="0058571C">
        <w:t>giá</w:t>
      </w:r>
      <w:proofErr w:type="spellEnd"/>
      <w:r w:rsidRPr="0058571C">
        <w:t xml:space="preserve"> </w:t>
      </w:r>
      <w:proofErr w:type="spellStart"/>
      <w:r w:rsidRPr="0058571C">
        <w:t>doanh</w:t>
      </w:r>
      <w:proofErr w:type="spellEnd"/>
      <w:r w:rsidRPr="0058571C">
        <w:t xml:space="preserve"> </w:t>
      </w:r>
      <w:proofErr w:type="spellStart"/>
      <w:r w:rsidRPr="0058571C">
        <w:t>nghiệp</w:t>
      </w:r>
      <w:proofErr w:type="spellEnd"/>
      <w:r w:rsidRPr="0058571C">
        <w:t xml:space="preserve"> </w:t>
      </w:r>
      <w:proofErr w:type="spellStart"/>
      <w:r w:rsidRPr="0058571C">
        <w:t>trong</w:t>
      </w:r>
      <w:proofErr w:type="spellEnd"/>
      <w:r w:rsidRPr="0058571C">
        <w:t xml:space="preserve"> </w:t>
      </w:r>
      <w:proofErr w:type="spellStart"/>
      <w:r w:rsidRPr="0058571C">
        <w:t>điều</w:t>
      </w:r>
      <w:proofErr w:type="spellEnd"/>
      <w:r w:rsidRPr="0058571C">
        <w:t xml:space="preserve"> </w:t>
      </w:r>
      <w:proofErr w:type="spellStart"/>
      <w:r w:rsidRPr="0058571C">
        <w:t>kiện</w:t>
      </w:r>
      <w:proofErr w:type="spellEnd"/>
      <w:r w:rsidRPr="0058571C">
        <w:t xml:space="preserve"> </w:t>
      </w:r>
      <w:proofErr w:type="spellStart"/>
      <w:r w:rsidRPr="0058571C">
        <w:t>Việt</w:t>
      </w:r>
      <w:proofErr w:type="spellEnd"/>
      <w:r w:rsidRPr="0058571C">
        <w:t xml:space="preserve"> Nam.</w:t>
      </w:r>
      <w:proofErr w:type="gramEnd"/>
      <w:r w:rsidRPr="0058571C">
        <w:t xml:space="preserve"> </w:t>
      </w:r>
    </w:p>
    <w:p w14:paraId="52A1AA9F" w14:textId="77777777" w:rsidR="00CD420F" w:rsidRPr="0058571C" w:rsidRDefault="00CD420F" w:rsidP="0058571C">
      <w:pPr>
        <w:ind w:firstLine="0"/>
        <w:rPr>
          <w:rFonts w:ascii="Arial" w:hAnsi="Arial" w:cs="Arial"/>
          <w:sz w:val="16"/>
          <w:szCs w:val="16"/>
        </w:rPr>
      </w:pPr>
    </w:p>
    <w:p w14:paraId="1F1B8901" w14:textId="5C261D1B" w:rsidR="00CD420F" w:rsidRPr="0058571C" w:rsidRDefault="00CD420F" w:rsidP="0058571C">
      <w:pPr>
        <w:pStyle w:val="05Tmtt-Abstract"/>
        <w:ind w:firstLine="0"/>
      </w:pPr>
      <w:proofErr w:type="spellStart"/>
      <w:r w:rsidRPr="0058571C">
        <w:rPr>
          <w:b/>
          <w:bCs/>
        </w:rPr>
        <w:t>Từ</w:t>
      </w:r>
      <w:proofErr w:type="spellEnd"/>
      <w:r w:rsidRPr="0058571C">
        <w:rPr>
          <w:b/>
          <w:bCs/>
        </w:rPr>
        <w:t xml:space="preserve"> </w:t>
      </w:r>
      <w:proofErr w:type="spellStart"/>
      <w:r w:rsidRPr="0058571C">
        <w:rPr>
          <w:b/>
          <w:bCs/>
        </w:rPr>
        <w:t>khóa</w:t>
      </w:r>
      <w:proofErr w:type="spellEnd"/>
      <w:r w:rsidRPr="0058571C">
        <w:rPr>
          <w:b/>
          <w:bCs/>
        </w:rPr>
        <w:t xml:space="preserve"> –</w:t>
      </w:r>
      <w:r w:rsidRPr="0058571C">
        <w:t xml:space="preserve"> </w:t>
      </w:r>
      <w:proofErr w:type="spellStart"/>
      <w:r w:rsidRPr="0058571C">
        <w:t>giá</w:t>
      </w:r>
      <w:proofErr w:type="spellEnd"/>
      <w:r w:rsidRPr="0058571C">
        <w:t xml:space="preserve"> </w:t>
      </w:r>
      <w:proofErr w:type="spellStart"/>
      <w:r w:rsidRPr="0058571C">
        <w:t>trị</w:t>
      </w:r>
      <w:proofErr w:type="spellEnd"/>
      <w:r w:rsidRPr="0058571C">
        <w:t xml:space="preserve"> </w:t>
      </w:r>
      <w:proofErr w:type="spellStart"/>
      <w:r w:rsidRPr="0058571C">
        <w:t>nội</w:t>
      </w:r>
      <w:proofErr w:type="spellEnd"/>
      <w:r w:rsidRPr="0058571C">
        <w:t xml:space="preserve"> </w:t>
      </w:r>
      <w:proofErr w:type="spellStart"/>
      <w:r w:rsidRPr="0058571C">
        <w:t>tại</w:t>
      </w:r>
      <w:proofErr w:type="spellEnd"/>
      <w:r w:rsidRPr="0058571C">
        <w:t xml:space="preserve"> </w:t>
      </w:r>
      <w:proofErr w:type="spellStart"/>
      <w:r w:rsidRPr="0058571C">
        <w:t>của</w:t>
      </w:r>
      <w:proofErr w:type="spellEnd"/>
      <w:r w:rsidRPr="0058571C">
        <w:t xml:space="preserve"> </w:t>
      </w:r>
      <w:proofErr w:type="spellStart"/>
      <w:r w:rsidRPr="0058571C">
        <w:t>doanh</w:t>
      </w:r>
      <w:proofErr w:type="spellEnd"/>
      <w:r w:rsidRPr="0058571C">
        <w:t xml:space="preserve"> </w:t>
      </w:r>
      <w:proofErr w:type="spellStart"/>
      <w:r w:rsidRPr="0058571C">
        <w:t>nghiệp</w:t>
      </w:r>
      <w:proofErr w:type="spellEnd"/>
      <w:r w:rsidRPr="0058571C">
        <w:t xml:space="preserve">; </w:t>
      </w:r>
      <w:proofErr w:type="spellStart"/>
      <w:r w:rsidRPr="0058571C">
        <w:t>định</w:t>
      </w:r>
      <w:proofErr w:type="spellEnd"/>
      <w:r w:rsidRPr="0058571C">
        <w:t xml:space="preserve"> </w:t>
      </w:r>
      <w:proofErr w:type="spellStart"/>
      <w:r w:rsidRPr="0058571C">
        <w:t>giá</w:t>
      </w:r>
      <w:proofErr w:type="spellEnd"/>
      <w:r w:rsidRPr="0058571C">
        <w:t xml:space="preserve"> </w:t>
      </w:r>
      <w:proofErr w:type="spellStart"/>
      <w:r w:rsidRPr="0058571C">
        <w:t>doanh</w:t>
      </w:r>
      <w:proofErr w:type="spellEnd"/>
      <w:r w:rsidRPr="0058571C">
        <w:t xml:space="preserve"> </w:t>
      </w:r>
      <w:proofErr w:type="spellStart"/>
      <w:r w:rsidRPr="0058571C">
        <w:t>nghiệp</w:t>
      </w:r>
      <w:proofErr w:type="spellEnd"/>
      <w:r w:rsidRPr="0058571C">
        <w:t xml:space="preserve">; </w:t>
      </w:r>
      <w:proofErr w:type="spellStart"/>
      <w:r w:rsidRPr="0058571C">
        <w:t>mô</w:t>
      </w:r>
      <w:proofErr w:type="spellEnd"/>
      <w:r w:rsidRPr="0058571C">
        <w:t xml:space="preserve"> </w:t>
      </w:r>
      <w:proofErr w:type="spellStart"/>
      <w:r w:rsidRPr="0058571C">
        <w:t>hình</w:t>
      </w:r>
      <w:proofErr w:type="spellEnd"/>
      <w:r w:rsidRPr="0058571C">
        <w:t xml:space="preserve"> </w:t>
      </w:r>
      <w:proofErr w:type="spellStart"/>
      <w:r w:rsidRPr="0058571C">
        <w:t>định</w:t>
      </w:r>
      <w:proofErr w:type="spellEnd"/>
      <w:r w:rsidRPr="0058571C">
        <w:t xml:space="preserve"> </w:t>
      </w:r>
      <w:proofErr w:type="spellStart"/>
      <w:r w:rsidRPr="0058571C">
        <w:t>giá</w:t>
      </w:r>
      <w:proofErr w:type="spellEnd"/>
      <w:r w:rsidRPr="0058571C">
        <w:t xml:space="preserve"> </w:t>
      </w:r>
      <w:proofErr w:type="spellStart"/>
      <w:r w:rsidRPr="0058571C">
        <w:t>doanh</w:t>
      </w:r>
      <w:proofErr w:type="spellEnd"/>
      <w:r w:rsidRPr="0058571C">
        <w:t xml:space="preserve"> </w:t>
      </w:r>
      <w:proofErr w:type="spellStart"/>
      <w:r w:rsidRPr="0058571C">
        <w:t>nghiệp</w:t>
      </w:r>
      <w:proofErr w:type="spellEnd"/>
      <w:r w:rsidRPr="0058571C">
        <w:t xml:space="preserve">; </w:t>
      </w:r>
      <w:proofErr w:type="spellStart"/>
      <w:r w:rsidRPr="0058571C">
        <w:t>các</w:t>
      </w:r>
      <w:proofErr w:type="spellEnd"/>
      <w:r w:rsidRPr="0058571C">
        <w:t xml:space="preserve"> </w:t>
      </w:r>
      <w:proofErr w:type="spellStart"/>
      <w:r w:rsidRPr="0058571C">
        <w:t>thuộc</w:t>
      </w:r>
      <w:proofErr w:type="spellEnd"/>
      <w:r w:rsidRPr="0058571C">
        <w:t xml:space="preserve"> </w:t>
      </w:r>
      <w:proofErr w:type="spellStart"/>
      <w:r w:rsidRPr="0058571C">
        <w:t>tính</w:t>
      </w:r>
      <w:proofErr w:type="spellEnd"/>
      <w:r w:rsidRPr="0058571C">
        <w:t xml:space="preserve"> </w:t>
      </w:r>
      <w:proofErr w:type="spellStart"/>
      <w:r w:rsidRPr="0058571C">
        <w:t>giá</w:t>
      </w:r>
      <w:proofErr w:type="spellEnd"/>
      <w:r w:rsidRPr="0058571C">
        <w:t xml:space="preserve"> </w:t>
      </w:r>
      <w:proofErr w:type="spellStart"/>
      <w:r w:rsidRPr="0058571C">
        <w:t>trị</w:t>
      </w:r>
      <w:proofErr w:type="spellEnd"/>
      <w:r w:rsidRPr="0058571C">
        <w:t xml:space="preserve">; </w:t>
      </w:r>
      <w:proofErr w:type="spellStart"/>
      <w:r w:rsidRPr="0058571C">
        <w:t>giá</w:t>
      </w:r>
      <w:proofErr w:type="spellEnd"/>
      <w:r w:rsidRPr="0058571C">
        <w:t xml:space="preserve"> </w:t>
      </w:r>
      <w:proofErr w:type="spellStart"/>
      <w:r w:rsidRPr="0058571C">
        <w:t>trị</w:t>
      </w:r>
      <w:proofErr w:type="spellEnd"/>
      <w:r w:rsidRPr="0058571C">
        <w:t xml:space="preserve"> </w:t>
      </w:r>
      <w:proofErr w:type="spellStart"/>
      <w:r w:rsidRPr="0058571C">
        <w:t>kết</w:t>
      </w:r>
      <w:proofErr w:type="spellEnd"/>
      <w:r w:rsidRPr="0058571C">
        <w:t xml:space="preserve"> </w:t>
      </w:r>
      <w:proofErr w:type="spellStart"/>
      <w:r w:rsidRPr="0058571C">
        <w:t>thúc</w:t>
      </w:r>
      <w:proofErr w:type="spellEnd"/>
      <w:r w:rsidRPr="0058571C">
        <w:br w:type="column"/>
      </w:r>
      <w:r w:rsidRPr="0058571C">
        <w:rPr>
          <w:b/>
          <w:bCs/>
        </w:rPr>
        <w:lastRenderedPageBreak/>
        <w:t>Abstract</w:t>
      </w:r>
      <w:r>
        <w:rPr>
          <w:b/>
          <w:bCs/>
        </w:rPr>
        <w:t xml:space="preserve"> - </w:t>
      </w:r>
      <w:r w:rsidRPr="0058571C">
        <w:t xml:space="preserve">Intrinsic value of a firm is a primary concern of shareholders, investors, and lenders and other stakeholders in the economy. There </w:t>
      </w:r>
      <w:proofErr w:type="gramStart"/>
      <w:r w:rsidRPr="0058571C">
        <w:t>are</w:t>
      </w:r>
      <w:proofErr w:type="gramEnd"/>
      <w:r w:rsidRPr="0058571C">
        <w:t xml:space="preserve"> common valuation models often used to estimate intrinsic value of a firm: DDM, RIM, DCM, and </w:t>
      </w:r>
      <w:proofErr w:type="spellStart"/>
      <w:r w:rsidRPr="0058571C">
        <w:t>Ohlson-Juettner</w:t>
      </w:r>
      <w:proofErr w:type="spellEnd"/>
      <w:r w:rsidRPr="0058571C">
        <w:t xml:space="preserve"> model. The </w:t>
      </w:r>
      <w:r w:rsidR="007033DD" w:rsidRPr="0058571C">
        <w:t>author implements</w:t>
      </w:r>
      <w:r w:rsidRPr="0058571C">
        <w:t xml:space="preserve"> generalizations of existing valuation models to provide a theoretical base for selecting, modeling and applying valuation approaches in practice. This paper provides a general structure of valuation models and point out how to construct the components and variables of a valuation model and how to fit valuation attributes into the model. The study also suggests way to modeling the evolution of future expected value streams of a firm. In addition, the modeling of a valuation model also requires risk adjustment to fit in the model. This paper helps to clarify the insights of formulating a valuation model and suggest useful implications for practice in the context of Vietnam.</w:t>
      </w:r>
    </w:p>
    <w:p w14:paraId="7E63ACC6" w14:textId="77777777" w:rsidR="00CD420F" w:rsidRPr="006F6CE9" w:rsidRDefault="00CD420F" w:rsidP="0058571C">
      <w:pPr>
        <w:pStyle w:val="05Tmtt-Abstract"/>
        <w:ind w:firstLine="0"/>
        <w:jc w:val="left"/>
        <w:sectPr w:rsidR="00CD420F" w:rsidRPr="006F6CE9" w:rsidSect="00E40F9E">
          <w:type w:val="continuous"/>
          <w:pgSz w:w="10773" w:h="15026" w:code="9"/>
          <w:pgMar w:top="567" w:right="567" w:bottom="567" w:left="567" w:header="284" w:footer="284" w:gutter="0"/>
          <w:cols w:num="2" w:space="284"/>
          <w:docGrid w:linePitch="360"/>
        </w:sectPr>
      </w:pPr>
      <w:r w:rsidRPr="0058571C">
        <w:rPr>
          <w:b/>
          <w:bCs/>
        </w:rPr>
        <w:t>Key words -</w:t>
      </w:r>
      <w:r w:rsidRPr="0058571C">
        <w:t xml:space="preserve"> firm valuation; valuation models; intrinsic value; valuation attributes; terminal value</w:t>
      </w:r>
    </w:p>
    <w:p w14:paraId="50E817B9" w14:textId="77777777" w:rsidR="00CD420F" w:rsidRPr="006F6CE9" w:rsidRDefault="00CD420F" w:rsidP="00D90263"/>
    <w:p w14:paraId="72E2EE58" w14:textId="77777777" w:rsidR="00CD420F" w:rsidRPr="006F6CE9" w:rsidRDefault="00CD420F" w:rsidP="00054AC5">
      <w:pPr>
        <w:spacing w:after="0"/>
        <w:sectPr w:rsidR="00CD420F" w:rsidRPr="006F6CE9" w:rsidSect="00E40F9E">
          <w:type w:val="continuous"/>
          <w:pgSz w:w="10773" w:h="15026" w:code="9"/>
          <w:pgMar w:top="567" w:right="567" w:bottom="567" w:left="567" w:header="284" w:footer="284" w:gutter="0"/>
          <w:cols w:space="720"/>
          <w:docGrid w:linePitch="360"/>
        </w:sectPr>
      </w:pPr>
    </w:p>
    <w:p w14:paraId="06DE9385" w14:textId="77777777" w:rsidR="00CD420F" w:rsidRPr="006F6CE9" w:rsidRDefault="00CD420F" w:rsidP="002A0FAC">
      <w:pPr>
        <w:pStyle w:val="Heading1"/>
      </w:pPr>
      <w:r w:rsidRPr="006F6CE9">
        <w:lastRenderedPageBreak/>
        <w:t>Introduction</w:t>
      </w:r>
    </w:p>
    <w:p w14:paraId="23CDF803" w14:textId="77777777" w:rsidR="00CD420F" w:rsidRPr="006F6CE9" w:rsidRDefault="00CD420F" w:rsidP="00BC0042">
      <w:r w:rsidRPr="006F6CE9">
        <w:t>All stakeholders such as shareholders, investors, and lenders have much interest in knowing the value of a firm. This task would involve estimating firm value for investment judgment. Traditionally, simple methods to fulfill this task include utilizing ratios such as PER (Price Earnings Ratio), and PBR (Price Book Ratio), or market multiples such as the book-to-market ratio (B/P), the earnings-to-price (E/P), and the dividend yield (D/P). However, “these simple valuation heuristics” “have little predictive power” in recent years (</w:t>
      </w:r>
      <w:r>
        <w:fldChar w:fldCharType="begin"/>
      </w:r>
      <w:r>
        <w:instrText xml:space="preserve"> REF _Ref447644294 \n \h </w:instrText>
      </w:r>
      <w:r>
        <w:fldChar w:fldCharType="separate"/>
      </w:r>
      <w:r>
        <w:t>[10]</w:t>
      </w:r>
      <w:r>
        <w:fldChar w:fldCharType="end"/>
      </w:r>
      <w:r w:rsidRPr="006F6CE9">
        <w:t>, p1695, 1696). More practical models have been developed to address this issue.</w:t>
      </w:r>
    </w:p>
    <w:p w14:paraId="2FB04263" w14:textId="77777777" w:rsidR="00CD420F" w:rsidRPr="006F6CE9" w:rsidRDefault="00CD420F" w:rsidP="00BC0042">
      <w:r w:rsidRPr="006F6CE9">
        <w:t>In this paper, an analysis of the structure of valuation models is implemented to come up with a generalization of valuation models built upon different valuation attributes. Then, a detailed analysis of the components of a valuation model will help highlight the insights of formulating a valuation model. Together with the development of the Vietnamese securities markets, firm valuation has become a big issue. This paper contributes more understanding to firm valuation and lay down some foundations for the practice.</w:t>
      </w:r>
    </w:p>
    <w:p w14:paraId="17EFABC1" w14:textId="77777777" w:rsidR="00CD420F" w:rsidRPr="006F6CE9" w:rsidRDefault="00CD420F" w:rsidP="002A0FAC">
      <w:pPr>
        <w:pStyle w:val="Heading1"/>
      </w:pPr>
      <w:r w:rsidRPr="006F6CE9">
        <w:t>Overview of valuation models</w:t>
      </w:r>
    </w:p>
    <w:p w14:paraId="609CD225" w14:textId="77777777" w:rsidR="00CD420F" w:rsidRPr="006F6CE9" w:rsidRDefault="00CD420F" w:rsidP="007E1738">
      <w:pPr>
        <w:pStyle w:val="Heading1I"/>
        <w:spacing w:before="60"/>
        <w:ind w:firstLine="289"/>
        <w:rPr>
          <w:sz w:val="20"/>
          <w:szCs w:val="20"/>
        </w:rPr>
      </w:pPr>
      <w:bookmarkStart w:id="1" w:name="_Toc251749317"/>
      <w:r w:rsidRPr="006F6CE9">
        <w:rPr>
          <w:sz w:val="20"/>
          <w:szCs w:val="20"/>
        </w:rPr>
        <w:t>Dividend Discount model (DDM)</w:t>
      </w:r>
      <w:bookmarkEnd w:id="1"/>
    </w:p>
    <w:p w14:paraId="7B36B6C5" w14:textId="77777777" w:rsidR="00CD420F" w:rsidRPr="006F6CE9" w:rsidRDefault="00CD420F" w:rsidP="00237653">
      <w:pPr>
        <w:rPr>
          <w:rFonts w:eastAsia="MS Mincho"/>
          <w:lang w:eastAsia="ja-JP"/>
        </w:rPr>
      </w:pPr>
      <w:r w:rsidRPr="006F6CE9">
        <w:t xml:space="preserve">It is perceived that, from the view of an acquirer/owner, the value-relevant outcomes from investing an asset are the net cash flows received from using that asset. In the case of shares, the future value-relevant cash flows are dividends which are distributed to common shareholders. In accordance with the general agreement on a stock’s intrinsic value as stated in </w:t>
      </w:r>
      <w:r w:rsidRPr="006F6CE9">
        <w:rPr>
          <w:rFonts w:eastAsia="MS Mincho"/>
          <w:lang w:eastAsia="ja-JP"/>
        </w:rPr>
        <w:t xml:space="preserve">Lee, Myers, and </w:t>
      </w:r>
      <w:proofErr w:type="spellStart"/>
      <w:r w:rsidRPr="006F6CE9">
        <w:rPr>
          <w:rFonts w:eastAsia="MS Mincho"/>
          <w:lang w:eastAsia="ja-JP"/>
        </w:rPr>
        <w:t>Swaminathan</w:t>
      </w:r>
      <w:proofErr w:type="spellEnd"/>
      <w:r>
        <w:rPr>
          <w:rFonts w:eastAsia="MS Mincho"/>
          <w:lang w:eastAsia="ja-JP"/>
        </w:rPr>
        <w:t xml:space="preserve"> </w:t>
      </w:r>
      <w:r>
        <w:rPr>
          <w:rFonts w:eastAsia="MS Mincho"/>
          <w:lang w:eastAsia="ja-JP"/>
        </w:rPr>
        <w:fldChar w:fldCharType="begin"/>
      </w:r>
      <w:r>
        <w:rPr>
          <w:rFonts w:eastAsia="MS Mincho"/>
          <w:lang w:eastAsia="ja-JP"/>
        </w:rPr>
        <w:instrText xml:space="preserve"> REF _Ref447644294 \n \h </w:instrText>
      </w:r>
      <w:r>
        <w:rPr>
          <w:rFonts w:eastAsia="MS Mincho"/>
          <w:lang w:eastAsia="ja-JP"/>
        </w:rPr>
      </w:r>
      <w:r>
        <w:rPr>
          <w:rFonts w:eastAsia="MS Mincho"/>
          <w:lang w:eastAsia="ja-JP"/>
        </w:rPr>
        <w:fldChar w:fldCharType="separate"/>
      </w:r>
      <w:r>
        <w:rPr>
          <w:rFonts w:eastAsia="MS Mincho"/>
          <w:lang w:eastAsia="ja-JP"/>
        </w:rPr>
        <w:t>[10]</w:t>
      </w:r>
      <w:r>
        <w:rPr>
          <w:rFonts w:eastAsia="MS Mincho"/>
          <w:lang w:eastAsia="ja-JP"/>
        </w:rPr>
        <w:fldChar w:fldCharType="end"/>
      </w:r>
      <w:r w:rsidRPr="006F6CE9">
        <w:rPr>
          <w:rFonts w:eastAsia="MS Mincho"/>
          <w:lang w:eastAsia="ja-JP"/>
        </w:rPr>
        <w:t>, and others, the intrinsic value of a stock can be expressed as follows:</w:t>
      </w:r>
    </w:p>
    <w:p w14:paraId="7D0EA1E4" w14:textId="77777777" w:rsidR="00CD420F" w:rsidRPr="006F6CE9" w:rsidRDefault="00CD420F" w:rsidP="007E1738">
      <w:pPr>
        <w:tabs>
          <w:tab w:val="left" w:pos="720"/>
          <w:tab w:val="left" w:pos="3969"/>
        </w:tabs>
      </w:pPr>
      <w:r w:rsidRPr="006F6CE9">
        <w:lastRenderedPageBreak/>
        <w:tab/>
      </w:r>
      <w:r w:rsidRPr="006F6CE9">
        <w:rPr>
          <w:position w:val="-28"/>
        </w:rPr>
        <w:object w:dxaOrig="2480" w:dyaOrig="680" w14:anchorId="199F26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8.5pt;height:26.5pt" o:ole="">
            <v:imagedata r:id="rId11" o:title=""/>
          </v:shape>
          <o:OLEObject Type="Embed" ProgID="Equation.3" ShapeID="_x0000_i1025" DrawAspect="Content" ObjectID="_1522865965" r:id="rId12"/>
        </w:object>
      </w:r>
      <w:r w:rsidRPr="006F6CE9">
        <w:tab/>
        <w:t>(PVD)</w:t>
      </w:r>
    </w:p>
    <w:p w14:paraId="3565B19F" w14:textId="5D8E9D6A" w:rsidR="00CD420F" w:rsidRPr="006F6CE9" w:rsidRDefault="00CD420F" w:rsidP="00237653">
      <w:pPr>
        <w:rPr>
          <w:i/>
          <w:iCs/>
        </w:rPr>
      </w:pPr>
      <w:proofErr w:type="gramStart"/>
      <w:r w:rsidRPr="006F6CE9">
        <w:t>where</w:t>
      </w:r>
      <w:proofErr w:type="gramEnd"/>
      <w:r w:rsidRPr="006F6CE9">
        <w:t>:</w:t>
      </w:r>
      <w:r w:rsidRPr="006F6CE9">
        <w:tab/>
      </w:r>
      <w:proofErr w:type="spellStart"/>
      <w:r w:rsidRPr="006F6CE9">
        <w:rPr>
          <w:i/>
          <w:iCs/>
        </w:rPr>
        <w:t>IV</w:t>
      </w:r>
      <w:r w:rsidRPr="006F6CE9">
        <w:rPr>
          <w:i/>
          <w:iCs/>
          <w:vertAlign w:val="subscript"/>
        </w:rPr>
        <w:t>t</w:t>
      </w:r>
      <w:proofErr w:type="spellEnd"/>
      <w:r w:rsidRPr="006F6CE9">
        <w:rPr>
          <w:i/>
          <w:iCs/>
        </w:rPr>
        <w:t xml:space="preserve"> =</w:t>
      </w:r>
      <w:r w:rsidRPr="006F6CE9">
        <w:t xml:space="preserve"> the intrinsic value of the firm’s equity at date </w:t>
      </w:r>
      <w:r w:rsidRPr="006F6CE9">
        <w:rPr>
          <w:i/>
          <w:iCs/>
        </w:rPr>
        <w:t>t</w:t>
      </w:r>
      <w:r w:rsidRPr="006F6CE9">
        <w:t>;</w:t>
      </w:r>
      <w:r w:rsidRPr="006F6CE9">
        <w:rPr>
          <w:i/>
          <w:iCs/>
        </w:rPr>
        <w:tab/>
        <w:t>D</w:t>
      </w:r>
      <w:r w:rsidRPr="006F6CE9">
        <w:rPr>
          <w:i/>
          <w:iCs/>
          <w:vertAlign w:val="subscript"/>
        </w:rPr>
        <w:t>t</w:t>
      </w:r>
      <w:r w:rsidRPr="006F6CE9">
        <w:rPr>
          <w:i/>
          <w:iCs/>
        </w:rPr>
        <w:t xml:space="preserve"> = </w:t>
      </w:r>
      <w:r w:rsidRPr="006F6CE9">
        <w:t xml:space="preserve">net dividends paid at date </w:t>
      </w:r>
      <w:r w:rsidRPr="006F6CE9">
        <w:rPr>
          <w:i/>
          <w:iCs/>
        </w:rPr>
        <w:t>t</w:t>
      </w:r>
      <w:r w:rsidRPr="006F6CE9">
        <w:t xml:space="preserve">; </w:t>
      </w:r>
      <w:r w:rsidRPr="006F6CE9">
        <w:rPr>
          <w:i/>
          <w:iCs/>
        </w:rPr>
        <w:t xml:space="preserve">ρ = </w:t>
      </w:r>
      <w:r w:rsidRPr="00015E0E">
        <w:rPr>
          <w:highlight w:val="yellow"/>
        </w:rPr>
        <w:t xml:space="preserve">the cost of </w:t>
      </w:r>
      <w:r w:rsidR="00015E0E" w:rsidRPr="00015E0E">
        <w:rPr>
          <w:highlight w:val="yellow"/>
        </w:rPr>
        <w:t>equity</w:t>
      </w:r>
      <w:r w:rsidRPr="006F6CE9">
        <w:t>; and</w:t>
      </w:r>
      <w:r w:rsidRPr="006F6CE9">
        <w:rPr>
          <w:i/>
          <w:iCs/>
        </w:rPr>
        <w:t xml:space="preserve"> E</w:t>
      </w:r>
      <w:r w:rsidRPr="006F6CE9">
        <w:rPr>
          <w:i/>
          <w:iCs/>
          <w:vertAlign w:val="subscript"/>
        </w:rPr>
        <w:t>t</w:t>
      </w:r>
      <w:r w:rsidRPr="006F6CE9">
        <w:t>[.]</w:t>
      </w:r>
      <w:r w:rsidRPr="006F6CE9">
        <w:rPr>
          <w:i/>
          <w:iCs/>
        </w:rPr>
        <w:t xml:space="preserve">= </w:t>
      </w:r>
      <w:r w:rsidRPr="006F6CE9">
        <w:t xml:space="preserve">the expected value operator conditioned on the date </w:t>
      </w:r>
      <w:r w:rsidRPr="006F6CE9">
        <w:rPr>
          <w:i/>
          <w:iCs/>
        </w:rPr>
        <w:t>t</w:t>
      </w:r>
      <w:r w:rsidRPr="006F6CE9">
        <w:t xml:space="preserve"> information.</w:t>
      </w:r>
    </w:p>
    <w:p w14:paraId="195BFC1A" w14:textId="77777777" w:rsidR="00CD420F" w:rsidRPr="006F6CE9" w:rsidRDefault="00CD420F" w:rsidP="007E1738">
      <w:pPr>
        <w:pStyle w:val="Heading1I"/>
        <w:spacing w:before="60"/>
        <w:ind w:firstLine="289"/>
        <w:rPr>
          <w:sz w:val="20"/>
          <w:szCs w:val="20"/>
        </w:rPr>
      </w:pPr>
      <w:bookmarkStart w:id="2" w:name="_Toc251749318"/>
      <w:r w:rsidRPr="006F6CE9">
        <w:rPr>
          <w:sz w:val="20"/>
          <w:szCs w:val="20"/>
        </w:rPr>
        <w:t>Discounted residual income model (RIM)</w:t>
      </w:r>
      <w:bookmarkEnd w:id="2"/>
    </w:p>
    <w:p w14:paraId="78E33507" w14:textId="77777777" w:rsidR="00CD420F" w:rsidRPr="006F6CE9" w:rsidRDefault="00CD420F" w:rsidP="00237653">
      <w:r w:rsidRPr="006F6CE9">
        <w:t xml:space="preserve">This valuation method is theoretically developed in </w:t>
      </w:r>
      <w:proofErr w:type="spellStart"/>
      <w:r w:rsidRPr="006F6CE9">
        <w:t>Ohlson</w:t>
      </w:r>
      <w:proofErr w:type="spellEnd"/>
      <w:r w:rsidRPr="006F6CE9">
        <w:t xml:space="preserve"> (</w:t>
      </w:r>
      <w:r>
        <w:fldChar w:fldCharType="begin"/>
      </w:r>
      <w:r>
        <w:instrText xml:space="preserve"> REF _Ref447644446 \n \h </w:instrText>
      </w:r>
      <w:r>
        <w:fldChar w:fldCharType="separate"/>
      </w:r>
      <w:r>
        <w:t>[12]</w:t>
      </w:r>
      <w:r>
        <w:fldChar w:fldCharType="end"/>
      </w:r>
      <w:r w:rsidRPr="006F6CE9">
        <w:t xml:space="preserve">), and </w:t>
      </w:r>
      <w:proofErr w:type="spellStart"/>
      <w:r w:rsidRPr="006F6CE9">
        <w:t>Feltham</w:t>
      </w:r>
      <w:proofErr w:type="spellEnd"/>
      <w:r w:rsidRPr="006F6CE9">
        <w:t xml:space="preserve"> and </w:t>
      </w:r>
      <w:proofErr w:type="spellStart"/>
      <w:r w:rsidRPr="006F6CE9">
        <w:t>Ohlson</w:t>
      </w:r>
      <w:proofErr w:type="spellEnd"/>
      <w:r w:rsidRPr="006F6CE9">
        <w:t xml:space="preserve"> (</w:t>
      </w:r>
      <w:r>
        <w:fldChar w:fldCharType="begin"/>
      </w:r>
      <w:r>
        <w:instrText xml:space="preserve"> REF _Ref447723486 \n \h </w:instrText>
      </w:r>
      <w:r>
        <w:fldChar w:fldCharType="separate"/>
      </w:r>
      <w:r>
        <w:t>[5]</w:t>
      </w:r>
      <w:r>
        <w:fldChar w:fldCharType="end"/>
      </w:r>
      <w:r w:rsidRPr="006F6CE9">
        <w:t>). In addition, derivations of this model also appear in many of accounting, finance and economics papers since 1930s (</w:t>
      </w:r>
      <w:r>
        <w:fldChar w:fldCharType="begin"/>
      </w:r>
      <w:r>
        <w:instrText xml:space="preserve"> REF _Ref447644579 \n \h </w:instrText>
      </w:r>
      <w:r>
        <w:fldChar w:fldCharType="separate"/>
      </w:r>
      <w:r>
        <w:t>[6]</w:t>
      </w:r>
      <w:r>
        <w:fldChar w:fldCharType="end"/>
      </w:r>
      <w:r w:rsidRPr="006F6CE9">
        <w:t>). The residual income model (RIM) is based on the clean surplus relation (CSR) to relate the valuation function to accounting data:</w:t>
      </w:r>
    </w:p>
    <w:p w14:paraId="3F76479A" w14:textId="1E0C2D78" w:rsidR="00CD420F" w:rsidRPr="00536C15" w:rsidRDefault="00CD420F" w:rsidP="007E1738">
      <w:pPr>
        <w:tabs>
          <w:tab w:val="left" w:pos="720"/>
          <w:tab w:val="left" w:pos="3969"/>
        </w:tabs>
      </w:pPr>
      <w:r w:rsidRPr="00536C15">
        <w:tab/>
      </w:r>
      <w:r w:rsidR="00DA6A2E">
        <w:rPr>
          <w:noProof/>
          <w:position w:val="-12"/>
        </w:rPr>
        <w:drawing>
          <wp:inline distT="0" distB="0" distL="0" distR="0" wp14:anchorId="09A2CAC6" wp14:editId="4EC60720">
            <wp:extent cx="1066800" cy="1733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66800" cy="173355"/>
                    </a:xfrm>
                    <a:prstGeom prst="rect">
                      <a:avLst/>
                    </a:prstGeom>
                    <a:noFill/>
                    <a:ln>
                      <a:noFill/>
                    </a:ln>
                  </pic:spPr>
                </pic:pic>
              </a:graphicData>
            </a:graphic>
          </wp:inline>
        </w:drawing>
      </w:r>
      <w:r w:rsidRPr="00536C15">
        <w:tab/>
        <w:t>(CSR)</w:t>
      </w:r>
    </w:p>
    <w:p w14:paraId="37A5B4BD" w14:textId="77777777" w:rsidR="00CD420F" w:rsidRPr="006F6CE9" w:rsidRDefault="00CD420F" w:rsidP="00237653">
      <w:proofErr w:type="gramStart"/>
      <w:r w:rsidRPr="006F6CE9">
        <w:t>where</w:t>
      </w:r>
      <w:proofErr w:type="gramEnd"/>
      <w:r w:rsidRPr="006F6CE9">
        <w:t xml:space="preserve">: </w:t>
      </w:r>
      <w:r w:rsidRPr="006F6CE9">
        <w:rPr>
          <w:i/>
          <w:iCs/>
        </w:rPr>
        <w:t>E</w:t>
      </w:r>
      <w:r w:rsidRPr="006F6CE9">
        <w:rPr>
          <w:i/>
          <w:iCs/>
          <w:vertAlign w:val="subscript"/>
        </w:rPr>
        <w:t>t</w:t>
      </w:r>
      <w:r w:rsidRPr="006F6CE9">
        <w:rPr>
          <w:i/>
          <w:iCs/>
        </w:rPr>
        <w:t xml:space="preserve"> =</w:t>
      </w:r>
      <w:r w:rsidRPr="006F6CE9">
        <w:t xml:space="preserve"> the earnings for the period </w:t>
      </w:r>
      <w:r w:rsidRPr="006F6CE9">
        <w:rPr>
          <w:i/>
          <w:iCs/>
        </w:rPr>
        <w:t>t</w:t>
      </w:r>
      <w:r w:rsidRPr="006F6CE9">
        <w:t xml:space="preserve">; </w:t>
      </w:r>
      <w:proofErr w:type="spellStart"/>
      <w:r w:rsidRPr="006F6CE9">
        <w:rPr>
          <w:i/>
          <w:iCs/>
        </w:rPr>
        <w:t>BV</w:t>
      </w:r>
      <w:r w:rsidRPr="006F6CE9">
        <w:rPr>
          <w:i/>
          <w:iCs/>
          <w:vertAlign w:val="subscript"/>
        </w:rPr>
        <w:t>t</w:t>
      </w:r>
      <w:proofErr w:type="spellEnd"/>
      <w:r w:rsidRPr="006F6CE9">
        <w:t xml:space="preserve"> </w:t>
      </w:r>
      <w:r w:rsidRPr="006F6CE9">
        <w:rPr>
          <w:i/>
          <w:iCs/>
        </w:rPr>
        <w:t>=</w:t>
      </w:r>
      <w:r w:rsidRPr="006F6CE9">
        <w:t xml:space="preserve"> (net) book value at date </w:t>
      </w:r>
      <w:r w:rsidRPr="006F6CE9">
        <w:rPr>
          <w:i/>
          <w:iCs/>
        </w:rPr>
        <w:t>t</w:t>
      </w:r>
      <w:r w:rsidRPr="006F6CE9">
        <w:t>.</w:t>
      </w:r>
    </w:p>
    <w:p w14:paraId="6B138FAC" w14:textId="77777777" w:rsidR="00CD420F" w:rsidRPr="006F6CE9" w:rsidRDefault="00CD420F" w:rsidP="00237653">
      <w:r w:rsidRPr="006F6CE9">
        <w:t>Constructed on the assumption of CSR, the residual income model (RIM) equation is as follows:</w:t>
      </w:r>
    </w:p>
    <w:p w14:paraId="687BB198" w14:textId="77777777" w:rsidR="00CD420F" w:rsidRPr="006F6CE9" w:rsidRDefault="00CD420F" w:rsidP="007E1738">
      <w:pPr>
        <w:tabs>
          <w:tab w:val="left" w:pos="720"/>
          <w:tab w:val="left" w:pos="3969"/>
        </w:tabs>
      </w:pPr>
      <w:r w:rsidRPr="006F6CE9">
        <w:tab/>
      </w:r>
      <w:r w:rsidRPr="006F6CE9">
        <w:rPr>
          <w:position w:val="-28"/>
        </w:rPr>
        <w:object w:dxaOrig="3159" w:dyaOrig="680" w14:anchorId="4549C347">
          <v:shape id="_x0000_i1026" type="#_x0000_t75" style="width:135.85pt;height:29.2pt" o:ole="">
            <v:imagedata r:id="rId14" o:title=""/>
          </v:shape>
          <o:OLEObject Type="Embed" ProgID="Equation.3" ShapeID="_x0000_i1026" DrawAspect="Content" ObjectID="_1522865966" r:id="rId15"/>
        </w:object>
      </w:r>
      <w:r w:rsidRPr="006F6CE9">
        <w:tab/>
        <w:t>(RIM)</w:t>
      </w:r>
    </w:p>
    <w:p w14:paraId="6C58F4A6" w14:textId="77777777" w:rsidR="00CD420F" w:rsidRPr="006F6CE9" w:rsidRDefault="00CD420F" w:rsidP="00237653">
      <w:proofErr w:type="gramStart"/>
      <w:r w:rsidRPr="006F6CE9">
        <w:t>where</w:t>
      </w:r>
      <w:proofErr w:type="gramEnd"/>
      <w:r w:rsidRPr="006F6CE9">
        <w:t xml:space="preserve">: </w:t>
      </w:r>
      <w:proofErr w:type="spellStart"/>
      <w:r w:rsidRPr="006F6CE9">
        <w:rPr>
          <w:i/>
          <w:iCs/>
        </w:rPr>
        <w:t>BV</w:t>
      </w:r>
      <w:r w:rsidRPr="006F6CE9">
        <w:rPr>
          <w:i/>
          <w:iCs/>
          <w:vertAlign w:val="subscript"/>
        </w:rPr>
        <w:t>t</w:t>
      </w:r>
      <w:proofErr w:type="spellEnd"/>
      <w:r w:rsidRPr="006F6CE9">
        <w:rPr>
          <w:i/>
          <w:iCs/>
        </w:rPr>
        <w:t>=</w:t>
      </w:r>
      <w:r w:rsidRPr="006F6CE9">
        <w:t xml:space="preserve"> (net) book value at date </w:t>
      </w:r>
      <w:r w:rsidRPr="006F6CE9">
        <w:rPr>
          <w:i/>
          <w:iCs/>
        </w:rPr>
        <w:t>t</w:t>
      </w:r>
      <w:r w:rsidRPr="006F6CE9">
        <w:t xml:space="preserve">; </w:t>
      </w:r>
      <w:r w:rsidRPr="006F6CE9">
        <w:rPr>
          <w:position w:val="-12"/>
        </w:rPr>
        <w:object w:dxaOrig="2400" w:dyaOrig="360" w14:anchorId="39D56138">
          <v:shape id="_x0000_i1027" type="#_x0000_t75" style="width:93.75pt;height:14.25pt" o:ole="">
            <v:imagedata r:id="rId16" o:title=""/>
          </v:shape>
          <o:OLEObject Type="Embed" ProgID="Equation.3" ShapeID="_x0000_i1027" DrawAspect="Content" ObjectID="_1522865967" r:id="rId17"/>
        </w:object>
      </w:r>
      <w:r w:rsidRPr="006F6CE9">
        <w:t xml:space="preserve">, residual income for the period </w:t>
      </w:r>
      <w:r w:rsidRPr="006F6CE9">
        <w:rPr>
          <w:i/>
          <w:iCs/>
        </w:rPr>
        <w:t>t</w:t>
      </w:r>
      <w:r w:rsidRPr="006F6CE9">
        <w:t>.</w:t>
      </w:r>
    </w:p>
    <w:p w14:paraId="2BAE7BBE" w14:textId="77777777" w:rsidR="00CD420F" w:rsidRPr="006F6CE9" w:rsidRDefault="00CD420F" w:rsidP="007E1738">
      <w:pPr>
        <w:pStyle w:val="Heading1I"/>
        <w:spacing w:before="60"/>
        <w:ind w:firstLine="289"/>
        <w:rPr>
          <w:sz w:val="20"/>
          <w:szCs w:val="20"/>
        </w:rPr>
      </w:pPr>
      <w:bookmarkStart w:id="3" w:name="_Toc251749319"/>
      <w:r w:rsidRPr="006F6CE9">
        <w:rPr>
          <w:sz w:val="20"/>
          <w:szCs w:val="20"/>
        </w:rPr>
        <w:t>Discounted cash flow model (DCM)</w:t>
      </w:r>
      <w:bookmarkEnd w:id="3"/>
    </w:p>
    <w:p w14:paraId="5FCDF02E" w14:textId="1175A45C" w:rsidR="00CD420F" w:rsidRPr="006F6CE9" w:rsidRDefault="00CD420F" w:rsidP="00237653">
      <w:r w:rsidRPr="006F6CE9">
        <w:t xml:space="preserve">The discounted cash flow model (DCM) has a long standing in the field of finance. </w:t>
      </w:r>
      <w:r w:rsidR="009B7D3B" w:rsidRPr="000D4D42">
        <w:rPr>
          <w:highlight w:val="yellow"/>
        </w:rPr>
        <w:t xml:space="preserve">There are various versions of </w:t>
      </w:r>
      <w:proofErr w:type="gramStart"/>
      <w:r w:rsidR="009B7D3B" w:rsidRPr="000D4D42">
        <w:rPr>
          <w:highlight w:val="yellow"/>
        </w:rPr>
        <w:t>DCM,</w:t>
      </w:r>
      <w:proofErr w:type="gramEnd"/>
      <w:r w:rsidR="009B7D3B" w:rsidRPr="000D4D42">
        <w:rPr>
          <w:highlight w:val="yellow"/>
        </w:rPr>
        <w:t xml:space="preserve"> however, a general model is applied in this paper.</w:t>
      </w:r>
      <w:r w:rsidR="009B7D3B" w:rsidRPr="006F6CE9">
        <w:t xml:space="preserve"> </w:t>
      </w:r>
      <w:r w:rsidRPr="006F6CE9">
        <w:t xml:space="preserve">To understand this model in connection to the above models and how this model relates a firm’s market value to accounting data, it is suggested that one should review the work of </w:t>
      </w:r>
      <w:proofErr w:type="spellStart"/>
      <w:r w:rsidRPr="006F6CE9">
        <w:t>Feltham</w:t>
      </w:r>
      <w:proofErr w:type="spellEnd"/>
      <w:r w:rsidRPr="006F6CE9">
        <w:t xml:space="preserve"> and </w:t>
      </w:r>
      <w:proofErr w:type="spellStart"/>
      <w:r w:rsidRPr="006F6CE9">
        <w:t>Ohlson</w:t>
      </w:r>
      <w:proofErr w:type="spellEnd"/>
      <w:r w:rsidRPr="006F6CE9">
        <w:t xml:space="preserve"> (</w:t>
      </w:r>
      <w:r>
        <w:fldChar w:fldCharType="begin"/>
      </w:r>
      <w:r>
        <w:instrText xml:space="preserve"> REF _Ref447723486 \n \h </w:instrText>
      </w:r>
      <w:r>
        <w:fldChar w:fldCharType="separate"/>
      </w:r>
      <w:r>
        <w:t>[5]</w:t>
      </w:r>
      <w:r>
        <w:fldChar w:fldCharType="end"/>
      </w:r>
      <w:r w:rsidRPr="006F6CE9">
        <w:t xml:space="preserve">). In their </w:t>
      </w:r>
      <w:r w:rsidRPr="006F6CE9">
        <w:lastRenderedPageBreak/>
        <w:t>paper, the division of a firm’s activities into operating and financial activities is crucial to the development of the models. The separation between financial and operating activities ensures that a firm’s equity value equals the value of operating activities plus the value of the financial assets. The following presents the discounted cash flow model (DCM) equation:</w:t>
      </w:r>
    </w:p>
    <w:p w14:paraId="7A83EB7A" w14:textId="77777777" w:rsidR="00CD420F" w:rsidRPr="006F6CE9" w:rsidRDefault="00CD420F" w:rsidP="007E1738">
      <w:pPr>
        <w:tabs>
          <w:tab w:val="left" w:pos="720"/>
          <w:tab w:val="left" w:pos="3969"/>
        </w:tabs>
      </w:pPr>
      <w:r w:rsidRPr="006F6CE9">
        <w:tab/>
      </w:r>
      <w:r w:rsidRPr="006F6CE9">
        <w:rPr>
          <w:position w:val="-28"/>
        </w:rPr>
        <w:object w:dxaOrig="3159" w:dyaOrig="680" w14:anchorId="49FF86CC">
          <v:shape id="_x0000_i1028" type="#_x0000_t75" style="width:132.45pt;height:29.2pt" o:ole="">
            <v:imagedata r:id="rId18" o:title=""/>
          </v:shape>
          <o:OLEObject Type="Embed" ProgID="Equation.3" ShapeID="_x0000_i1028" DrawAspect="Content" ObjectID="_1522865968" r:id="rId19"/>
        </w:object>
      </w:r>
      <w:r w:rsidRPr="006F6CE9">
        <w:tab/>
        <w:t>(DCM)</w:t>
      </w:r>
    </w:p>
    <w:p w14:paraId="31ED8E33" w14:textId="77777777" w:rsidR="00CD420F" w:rsidRPr="006F6CE9" w:rsidRDefault="00CD420F" w:rsidP="00237653">
      <w:proofErr w:type="gramStart"/>
      <w:r w:rsidRPr="006F6CE9">
        <w:t>where</w:t>
      </w:r>
      <w:proofErr w:type="gramEnd"/>
      <w:r w:rsidRPr="006F6CE9">
        <w:t xml:space="preserve">: </w:t>
      </w:r>
      <w:proofErr w:type="spellStart"/>
      <w:r w:rsidRPr="006F6CE9">
        <w:rPr>
          <w:i/>
          <w:iCs/>
        </w:rPr>
        <w:t>FA</w:t>
      </w:r>
      <w:r w:rsidRPr="006F6CE9">
        <w:rPr>
          <w:i/>
          <w:iCs/>
          <w:vertAlign w:val="subscript"/>
        </w:rPr>
        <w:t>t</w:t>
      </w:r>
      <w:proofErr w:type="spellEnd"/>
      <w:r w:rsidRPr="006F6CE9">
        <w:rPr>
          <w:i/>
          <w:iCs/>
          <w:vertAlign w:val="subscript"/>
        </w:rPr>
        <w:t xml:space="preserve"> </w:t>
      </w:r>
      <w:r w:rsidRPr="006F6CE9">
        <w:rPr>
          <w:i/>
          <w:iCs/>
        </w:rPr>
        <w:t xml:space="preserve">= </w:t>
      </w:r>
      <w:r w:rsidRPr="006F6CE9">
        <w:t xml:space="preserve">financial assets, net of financial obligations, date </w:t>
      </w:r>
      <w:r w:rsidRPr="006F6CE9">
        <w:rPr>
          <w:i/>
          <w:iCs/>
        </w:rPr>
        <w:t>t</w:t>
      </w:r>
      <w:r w:rsidRPr="006F6CE9">
        <w:t xml:space="preserve">; </w:t>
      </w:r>
      <w:proofErr w:type="spellStart"/>
      <w:r w:rsidRPr="000D4D42">
        <w:rPr>
          <w:i/>
          <w:iCs/>
          <w:highlight w:val="yellow"/>
        </w:rPr>
        <w:t>ρ</w:t>
      </w:r>
      <w:r w:rsidRPr="000D4D42">
        <w:rPr>
          <w:i/>
          <w:iCs/>
          <w:highlight w:val="yellow"/>
          <w:vertAlign w:val="subscript"/>
        </w:rPr>
        <w:t>w</w:t>
      </w:r>
      <w:proofErr w:type="spellEnd"/>
      <w:r w:rsidRPr="000D4D42">
        <w:rPr>
          <w:highlight w:val="yellow"/>
        </w:rPr>
        <w:t xml:space="preserve"> is the weighted average cost of capital</w:t>
      </w:r>
      <w:r w:rsidRPr="006F6CE9">
        <w:t xml:space="preserve">; </w:t>
      </w:r>
      <w:r w:rsidRPr="006F6CE9">
        <w:rPr>
          <w:i/>
          <w:iCs/>
        </w:rPr>
        <w:t>C</w:t>
      </w:r>
      <w:r w:rsidRPr="006F6CE9">
        <w:rPr>
          <w:i/>
          <w:iCs/>
          <w:vertAlign w:val="subscript"/>
        </w:rPr>
        <w:t>t</w:t>
      </w:r>
      <w:r w:rsidRPr="006F6CE9">
        <w:t xml:space="preserve"> </w:t>
      </w:r>
      <w:r w:rsidRPr="006F6CE9">
        <w:rPr>
          <w:i/>
          <w:iCs/>
        </w:rPr>
        <w:t xml:space="preserve">= </w:t>
      </w:r>
      <w:r w:rsidRPr="006F6CE9">
        <w:t xml:space="preserve">cash flows realized from operating activities, net of investments in those activities, date </w:t>
      </w:r>
      <w:r w:rsidRPr="006F6CE9">
        <w:rPr>
          <w:i/>
          <w:iCs/>
        </w:rPr>
        <w:t>t</w:t>
      </w:r>
      <w:r w:rsidRPr="006F6CE9">
        <w:t>.</w:t>
      </w:r>
    </w:p>
    <w:p w14:paraId="0174FD25" w14:textId="77777777" w:rsidR="00CD420F" w:rsidRPr="006F6CE9" w:rsidRDefault="00CD420F" w:rsidP="007E1738">
      <w:pPr>
        <w:pStyle w:val="Heading1I"/>
        <w:spacing w:before="60"/>
        <w:ind w:firstLine="289"/>
        <w:rPr>
          <w:sz w:val="20"/>
          <w:szCs w:val="20"/>
        </w:rPr>
      </w:pPr>
      <w:bookmarkStart w:id="4" w:name="_Toc251749320"/>
      <w:proofErr w:type="spellStart"/>
      <w:r w:rsidRPr="006F6CE9">
        <w:rPr>
          <w:sz w:val="20"/>
          <w:szCs w:val="20"/>
        </w:rPr>
        <w:t>Ohlson-Juettner</w:t>
      </w:r>
      <w:proofErr w:type="spellEnd"/>
      <w:r w:rsidRPr="006F6CE9">
        <w:rPr>
          <w:sz w:val="20"/>
          <w:szCs w:val="20"/>
        </w:rPr>
        <w:t xml:space="preserve"> model (OJM)</w:t>
      </w:r>
      <w:bookmarkEnd w:id="4"/>
    </w:p>
    <w:p w14:paraId="002013EA" w14:textId="77777777" w:rsidR="00CD420F" w:rsidRPr="006F6CE9" w:rsidRDefault="00CD420F" w:rsidP="00237653">
      <w:proofErr w:type="spellStart"/>
      <w:r w:rsidRPr="006F6CE9">
        <w:t>Ohlson</w:t>
      </w:r>
      <w:proofErr w:type="spellEnd"/>
      <w:r w:rsidRPr="006F6CE9">
        <w:t xml:space="preserve"> and </w:t>
      </w:r>
      <w:proofErr w:type="spellStart"/>
      <w:r w:rsidRPr="006F6CE9">
        <w:t>Juettner</w:t>
      </w:r>
      <w:proofErr w:type="spellEnd"/>
      <w:r w:rsidRPr="006F6CE9">
        <w:t xml:space="preserve"> (</w:t>
      </w:r>
      <w:r>
        <w:fldChar w:fldCharType="begin"/>
      </w:r>
      <w:r>
        <w:instrText xml:space="preserve"> REF _Ref447644691 \n \h </w:instrText>
      </w:r>
      <w:r>
        <w:fldChar w:fldCharType="separate"/>
      </w:r>
      <w:r>
        <w:t>[14]</w:t>
      </w:r>
      <w:r>
        <w:fldChar w:fldCharType="end"/>
      </w:r>
      <w:r w:rsidRPr="006F6CE9">
        <w:t>) provide a model that relates the firm value to forthcoming earnings per share (eps</w:t>
      </w:r>
      <w:r w:rsidRPr="006F6CE9">
        <w:rPr>
          <w:vertAlign w:val="subscript"/>
        </w:rPr>
        <w:t>1</w:t>
      </w:r>
      <w:r w:rsidRPr="006F6CE9">
        <w:t>), usual measure of growth (g</w:t>
      </w:r>
      <w:r w:rsidRPr="006F6CE9">
        <w:rPr>
          <w:vertAlign w:val="subscript"/>
        </w:rPr>
        <w:t>2</w:t>
      </w:r>
      <w:r w:rsidRPr="006F6CE9">
        <w:t>), two-year-ahead eps (eps</w:t>
      </w:r>
      <w:r w:rsidRPr="006F6CE9">
        <w:rPr>
          <w:vertAlign w:val="subscript"/>
        </w:rPr>
        <w:t>2</w:t>
      </w:r>
      <w:r w:rsidRPr="006F6CE9">
        <w:t>), and an assumed perpetual growth rate gamma (</w:t>
      </w:r>
      <w:r w:rsidRPr="006F6CE9">
        <w:rPr>
          <w:i/>
          <w:iCs/>
        </w:rPr>
        <w:t>γ</w:t>
      </w:r>
      <w:r w:rsidRPr="006F6CE9">
        <w:t xml:space="preserve">). As </w:t>
      </w:r>
      <w:proofErr w:type="spellStart"/>
      <w:r w:rsidRPr="006F6CE9">
        <w:t>Gode</w:t>
      </w:r>
      <w:proofErr w:type="spellEnd"/>
      <w:r w:rsidRPr="006F6CE9">
        <w:t xml:space="preserve"> and </w:t>
      </w:r>
      <w:proofErr w:type="spellStart"/>
      <w:r w:rsidRPr="006F6CE9">
        <w:t>Mohanram</w:t>
      </w:r>
      <w:proofErr w:type="spellEnd"/>
      <w:r w:rsidRPr="006F6CE9">
        <w:t xml:space="preserve"> (</w:t>
      </w:r>
      <w:r>
        <w:fldChar w:fldCharType="begin"/>
      </w:r>
      <w:r>
        <w:instrText xml:space="preserve"> REF _Ref447644713 \n \h </w:instrText>
      </w:r>
      <w:r>
        <w:fldChar w:fldCharType="separate"/>
      </w:r>
      <w:r>
        <w:t>[8]</w:t>
      </w:r>
      <w:r>
        <w:fldChar w:fldCharType="end"/>
      </w:r>
      <w:r w:rsidRPr="006F6CE9">
        <w:t xml:space="preserve">) comments, the model has two appealing features. First, the model </w:t>
      </w:r>
      <w:proofErr w:type="gramStart"/>
      <w:r w:rsidRPr="006F6CE9">
        <w:t>substitutes</w:t>
      </w:r>
      <w:proofErr w:type="gramEnd"/>
      <w:r w:rsidRPr="006F6CE9">
        <w:t xml:space="preserve"> earnings for dividends as in the RIM case but unlike the RIM case, it does not require forecasts of book values or return on equity (ROE). Second, the model is parsimonious; </w:t>
      </w:r>
      <w:r w:rsidRPr="006F6CE9">
        <w:rPr>
          <w:i/>
          <w:iCs/>
        </w:rPr>
        <w:t>γ</w:t>
      </w:r>
      <w:r w:rsidRPr="006F6CE9">
        <w:t xml:space="preserve"> determines the perpetual growth rate as well as the decay rate of the growth of the expected eps-sequence as a function of the future date.</w:t>
      </w:r>
    </w:p>
    <w:p w14:paraId="69A8B692" w14:textId="77777777" w:rsidR="00CD420F" w:rsidRPr="006F6CE9" w:rsidRDefault="00CD420F" w:rsidP="007E1738">
      <w:pPr>
        <w:tabs>
          <w:tab w:val="left" w:pos="720"/>
          <w:tab w:val="left" w:pos="3969"/>
        </w:tabs>
        <w:ind w:firstLine="0"/>
      </w:pPr>
      <w:r w:rsidRPr="006F6CE9">
        <w:rPr>
          <w:position w:val="-30"/>
        </w:rPr>
        <w:object w:dxaOrig="5240" w:dyaOrig="720" w14:anchorId="6AE317B3">
          <v:shape id="_x0000_i1029" type="#_x0000_t75" style="width:191.55pt;height:25.8pt" o:ole="">
            <v:imagedata r:id="rId20" o:title=""/>
          </v:shape>
          <o:OLEObject Type="Embed" ProgID="Equation.3" ShapeID="_x0000_i1029" DrawAspect="Content" ObjectID="_1522865969" r:id="rId21"/>
        </w:object>
      </w:r>
      <w:r w:rsidRPr="006F6CE9">
        <w:tab/>
        <w:t>(OJM)</w:t>
      </w:r>
    </w:p>
    <w:p w14:paraId="0870FE15" w14:textId="77777777" w:rsidR="00CD420F" w:rsidRPr="006F6CE9" w:rsidRDefault="00CD420F" w:rsidP="00237653">
      <w:proofErr w:type="gramStart"/>
      <w:r w:rsidRPr="006F6CE9">
        <w:t>where</w:t>
      </w:r>
      <w:proofErr w:type="gramEnd"/>
      <w:r w:rsidRPr="006F6CE9">
        <w:t xml:space="preserve">: </w:t>
      </w:r>
      <w:r w:rsidRPr="006F6CE9">
        <w:tab/>
        <w:t>eps</w:t>
      </w:r>
      <w:r w:rsidRPr="006F6CE9">
        <w:rPr>
          <w:vertAlign w:val="subscript"/>
        </w:rPr>
        <w:t>1</w:t>
      </w:r>
      <w:r w:rsidRPr="006F6CE9">
        <w:t xml:space="preserve"> is forthcoming earnings per share, assumed to be greater than 0; and  </w:t>
      </w:r>
      <w:r w:rsidRPr="006F6CE9">
        <w:rPr>
          <w:i/>
          <w:iCs/>
        </w:rPr>
        <w:t>g</w:t>
      </w:r>
      <w:r w:rsidRPr="006F6CE9">
        <w:rPr>
          <w:i/>
          <w:iCs/>
          <w:vertAlign w:val="subscript"/>
        </w:rPr>
        <w:t>2</w:t>
      </w:r>
      <w:r w:rsidRPr="006F6CE9">
        <w:t xml:space="preserve"> captures the usual measure of growth, %Δ</w:t>
      </w:r>
      <w:r w:rsidRPr="006F6CE9">
        <w:rPr>
          <w:i/>
          <w:iCs/>
        </w:rPr>
        <w:t>eps</w:t>
      </w:r>
      <w:r w:rsidRPr="006F6CE9">
        <w:rPr>
          <w:vertAlign w:val="subscript"/>
        </w:rPr>
        <w:t xml:space="preserve">2 </w:t>
      </w:r>
      <w:r w:rsidRPr="006F6CE9">
        <w:rPr>
          <w:i/>
          <w:iCs/>
        </w:rPr>
        <w:t>≡</w:t>
      </w:r>
      <w:r w:rsidRPr="006F6CE9">
        <w:t xml:space="preserve"> (</w:t>
      </w:r>
      <w:r w:rsidRPr="006F6CE9">
        <w:rPr>
          <w:i/>
          <w:iCs/>
        </w:rPr>
        <w:t>eps</w:t>
      </w:r>
      <w:r w:rsidRPr="006F6CE9">
        <w:rPr>
          <w:vertAlign w:val="subscript"/>
        </w:rPr>
        <w:t>2</w:t>
      </w:r>
      <w:r w:rsidRPr="006F6CE9">
        <w:t xml:space="preserve"> </w:t>
      </w:r>
      <w:r w:rsidRPr="006F6CE9">
        <w:rPr>
          <w:i/>
          <w:iCs/>
        </w:rPr>
        <w:t>–</w:t>
      </w:r>
      <w:r w:rsidRPr="006F6CE9">
        <w:t xml:space="preserve"> </w:t>
      </w:r>
      <w:r w:rsidRPr="006F6CE9">
        <w:rPr>
          <w:i/>
          <w:iCs/>
        </w:rPr>
        <w:t>eps</w:t>
      </w:r>
      <w:r w:rsidRPr="006F6CE9">
        <w:rPr>
          <w:vertAlign w:val="subscript"/>
        </w:rPr>
        <w:t>1</w:t>
      </w:r>
      <w:r w:rsidRPr="006F6CE9">
        <w:t>)/</w:t>
      </w:r>
      <w:r w:rsidRPr="006F6CE9">
        <w:rPr>
          <w:i/>
          <w:iCs/>
        </w:rPr>
        <w:t>eps</w:t>
      </w:r>
      <w:r w:rsidRPr="006F6CE9">
        <w:rPr>
          <w:vertAlign w:val="subscript"/>
        </w:rPr>
        <w:t>1</w:t>
      </w:r>
      <w:r w:rsidRPr="006F6CE9">
        <w:t xml:space="preserve"> ; </w:t>
      </w:r>
      <w:r w:rsidRPr="006F6CE9">
        <w:rPr>
          <w:i/>
          <w:iCs/>
          <w:sz w:val="24"/>
          <w:szCs w:val="24"/>
        </w:rPr>
        <w:t>γ</w:t>
      </w:r>
      <w:r w:rsidRPr="006F6CE9">
        <w:t xml:space="preserve"> is assumed to be perpetual growth rate</w:t>
      </w:r>
    </w:p>
    <w:p w14:paraId="71D01D14" w14:textId="77777777" w:rsidR="00CD420F" w:rsidRPr="006F6CE9" w:rsidRDefault="00CD420F" w:rsidP="007E1738">
      <w:pPr>
        <w:pStyle w:val="Heading1"/>
      </w:pPr>
      <w:r w:rsidRPr="006F6CE9">
        <w:t>The development of valuation models</w:t>
      </w:r>
    </w:p>
    <w:p w14:paraId="57F883F9" w14:textId="77777777" w:rsidR="00CD420F" w:rsidRPr="006F6CE9" w:rsidRDefault="00CD420F" w:rsidP="00237653">
      <w:r w:rsidRPr="006F6CE9">
        <w:t>In this section, the author analyzes and proposes the development of a valuation model based on the previous models.</w:t>
      </w:r>
    </w:p>
    <w:p w14:paraId="73EBBD19" w14:textId="77777777" w:rsidR="00CD420F" w:rsidRPr="006F6CE9" w:rsidRDefault="00CD420F" w:rsidP="007E1738">
      <w:pPr>
        <w:pStyle w:val="Heading2"/>
      </w:pPr>
      <w:r w:rsidRPr="006F6CE9">
        <w:t>A generic model</w:t>
      </w:r>
    </w:p>
    <w:p w14:paraId="35C25986" w14:textId="77777777" w:rsidR="00CD420F" w:rsidRPr="006F6CE9" w:rsidRDefault="00CD420F" w:rsidP="00237653">
      <w:r w:rsidRPr="006F6CE9">
        <w:t xml:space="preserve">A valuation model formulation normally must start from the assumption that the firm value is measured by the capitalization of the expected dividend sequence. This feature clearly determines that all the above models should be equivalent to each other as they come out from the same origin. Developed on this basis, a model generally has two components: an initial net book value of assets or an initial capitalization of value-relevant variables, and a capitalized future expected value-relevant sequence. The choice of the value-relevant variables is crucial to the empirical validity of the models. In addition, playing an important role in capitalizing the value-relevant sequences is the choice of a discounted factor, or the cost of capital. Using the </w:t>
      </w:r>
      <w:proofErr w:type="spellStart"/>
      <w:r w:rsidRPr="006F6CE9">
        <w:t>Ohlson</w:t>
      </w:r>
      <w:proofErr w:type="spellEnd"/>
      <w:r w:rsidRPr="006F6CE9">
        <w:t xml:space="preserve"> and </w:t>
      </w:r>
      <w:proofErr w:type="spellStart"/>
      <w:r w:rsidRPr="006F6CE9">
        <w:t>Juettner</w:t>
      </w:r>
      <w:proofErr w:type="spellEnd"/>
      <w:r w:rsidRPr="006F6CE9">
        <w:t xml:space="preserve"> (</w:t>
      </w:r>
      <w:r>
        <w:fldChar w:fldCharType="begin"/>
      </w:r>
      <w:r>
        <w:instrText xml:space="preserve"> REF _Ref447644691 \n \h </w:instrText>
      </w:r>
      <w:r>
        <w:fldChar w:fldCharType="separate"/>
      </w:r>
      <w:r>
        <w:t>[14]</w:t>
      </w:r>
      <w:r>
        <w:fldChar w:fldCharType="end"/>
      </w:r>
      <w:r w:rsidRPr="006F6CE9">
        <w:t>)’s algebraic machinery, one can generalize the machinery formation of a model expression as follows:</w:t>
      </w:r>
    </w:p>
    <w:p w14:paraId="7BF143D1" w14:textId="77777777" w:rsidR="00CD420F" w:rsidRPr="006F6CE9" w:rsidRDefault="00CD420F" w:rsidP="00237653">
      <w:r w:rsidRPr="006F6CE9">
        <w:t>As a first step, the introduction of the following algebraic identity is central:</w:t>
      </w:r>
    </w:p>
    <w:p w14:paraId="71C39678" w14:textId="77777777" w:rsidR="00CD420F" w:rsidRPr="0093427A" w:rsidRDefault="00CD420F" w:rsidP="000C5F19">
      <w:pPr>
        <w:rPr>
          <w:lang w:val="pt-PT"/>
        </w:rPr>
      </w:pPr>
      <w:r w:rsidRPr="0093427A">
        <w:rPr>
          <w:lang w:val="pt-PT"/>
        </w:rPr>
        <w:lastRenderedPageBreak/>
        <w:t xml:space="preserve">0 ≡ </w:t>
      </w:r>
      <w:r w:rsidRPr="0093427A">
        <w:rPr>
          <w:i/>
          <w:iCs/>
          <w:lang w:val="pt-PT"/>
        </w:rPr>
        <w:t>B</w:t>
      </w:r>
      <w:r w:rsidRPr="0093427A">
        <w:rPr>
          <w:i/>
          <w:iCs/>
          <w:vertAlign w:val="subscript"/>
          <w:lang w:val="pt-PT"/>
        </w:rPr>
        <w:t>t</w:t>
      </w:r>
      <w:r w:rsidRPr="0093427A">
        <w:rPr>
          <w:i/>
          <w:iCs/>
          <w:lang w:val="pt-PT"/>
        </w:rPr>
        <w:t xml:space="preserve"> </w:t>
      </w:r>
      <w:r w:rsidRPr="0093427A">
        <w:rPr>
          <w:lang w:val="pt-PT"/>
        </w:rPr>
        <w:t xml:space="preserve">+ </w:t>
      </w:r>
      <w:r w:rsidRPr="0093427A">
        <w:rPr>
          <w:i/>
          <w:iCs/>
          <w:lang w:val="pt-PT"/>
        </w:rPr>
        <w:t>R</w:t>
      </w:r>
      <w:r w:rsidRPr="0093427A">
        <w:rPr>
          <w:vertAlign w:val="superscript"/>
          <w:lang w:val="pt-PT"/>
        </w:rPr>
        <w:t>-1</w:t>
      </w:r>
      <w:r w:rsidRPr="0093427A">
        <w:rPr>
          <w:lang w:val="pt-PT"/>
        </w:rPr>
        <w:t>(</w:t>
      </w:r>
      <w:r w:rsidRPr="0093427A">
        <w:rPr>
          <w:i/>
          <w:iCs/>
          <w:lang w:val="pt-PT"/>
        </w:rPr>
        <w:t>B</w:t>
      </w:r>
      <w:r w:rsidRPr="0093427A">
        <w:rPr>
          <w:i/>
          <w:iCs/>
          <w:vertAlign w:val="subscript"/>
          <w:lang w:val="pt-PT"/>
        </w:rPr>
        <w:t>t</w:t>
      </w:r>
      <w:r w:rsidRPr="0093427A">
        <w:rPr>
          <w:vertAlign w:val="subscript"/>
          <w:lang w:val="pt-PT"/>
        </w:rPr>
        <w:t xml:space="preserve"> + 1</w:t>
      </w:r>
      <w:r w:rsidRPr="0093427A">
        <w:rPr>
          <w:lang w:val="pt-PT"/>
        </w:rPr>
        <w:t xml:space="preserve"> – </w:t>
      </w:r>
      <w:r w:rsidRPr="0093427A">
        <w:rPr>
          <w:i/>
          <w:iCs/>
          <w:lang w:val="pt-PT"/>
        </w:rPr>
        <w:t>R</w:t>
      </w:r>
      <w:r w:rsidRPr="0093427A">
        <w:rPr>
          <w:lang w:val="pt-PT"/>
        </w:rPr>
        <w:t>.</w:t>
      </w:r>
      <w:r w:rsidRPr="0093427A">
        <w:rPr>
          <w:i/>
          <w:iCs/>
          <w:lang w:val="pt-PT"/>
        </w:rPr>
        <w:t>B</w:t>
      </w:r>
      <w:r w:rsidRPr="0093427A">
        <w:rPr>
          <w:i/>
          <w:iCs/>
          <w:vertAlign w:val="subscript"/>
          <w:lang w:val="pt-PT"/>
        </w:rPr>
        <w:t>t</w:t>
      </w:r>
      <w:r w:rsidRPr="0093427A">
        <w:rPr>
          <w:lang w:val="pt-PT"/>
        </w:rPr>
        <w:t xml:space="preserve">) + </w:t>
      </w:r>
      <w:r w:rsidRPr="0093427A">
        <w:rPr>
          <w:i/>
          <w:iCs/>
          <w:lang w:val="pt-PT"/>
        </w:rPr>
        <w:t>R</w:t>
      </w:r>
      <w:r w:rsidRPr="0093427A">
        <w:rPr>
          <w:vertAlign w:val="superscript"/>
          <w:lang w:val="pt-PT"/>
        </w:rPr>
        <w:t>-2</w:t>
      </w:r>
      <w:r w:rsidRPr="0093427A">
        <w:rPr>
          <w:lang w:val="pt-PT"/>
        </w:rPr>
        <w:t>(</w:t>
      </w:r>
      <w:r w:rsidRPr="0093427A">
        <w:rPr>
          <w:i/>
          <w:iCs/>
          <w:lang w:val="pt-PT"/>
        </w:rPr>
        <w:t>B</w:t>
      </w:r>
      <w:r w:rsidRPr="0093427A">
        <w:rPr>
          <w:i/>
          <w:iCs/>
          <w:vertAlign w:val="subscript"/>
          <w:lang w:val="pt-PT"/>
        </w:rPr>
        <w:t>t</w:t>
      </w:r>
      <w:r w:rsidRPr="0093427A">
        <w:rPr>
          <w:vertAlign w:val="subscript"/>
          <w:lang w:val="pt-PT"/>
        </w:rPr>
        <w:t>+2</w:t>
      </w:r>
      <w:r w:rsidRPr="0093427A">
        <w:rPr>
          <w:lang w:val="pt-PT"/>
        </w:rPr>
        <w:t xml:space="preserve"> – </w:t>
      </w:r>
      <w:r w:rsidRPr="0093427A">
        <w:rPr>
          <w:i/>
          <w:iCs/>
          <w:lang w:val="pt-PT"/>
        </w:rPr>
        <w:t>R</w:t>
      </w:r>
      <w:r w:rsidRPr="0093427A">
        <w:rPr>
          <w:lang w:val="pt-PT"/>
        </w:rPr>
        <w:t>.</w:t>
      </w:r>
      <w:r w:rsidRPr="0093427A">
        <w:rPr>
          <w:i/>
          <w:iCs/>
          <w:lang w:val="pt-PT"/>
        </w:rPr>
        <w:t>B</w:t>
      </w:r>
      <w:r w:rsidRPr="0093427A">
        <w:rPr>
          <w:i/>
          <w:iCs/>
          <w:vertAlign w:val="subscript"/>
          <w:lang w:val="pt-PT"/>
        </w:rPr>
        <w:t>t</w:t>
      </w:r>
      <w:r w:rsidRPr="0093427A">
        <w:rPr>
          <w:vertAlign w:val="subscript"/>
          <w:lang w:val="pt-PT"/>
        </w:rPr>
        <w:t xml:space="preserve"> + 1</w:t>
      </w:r>
      <w:r w:rsidRPr="0093427A">
        <w:rPr>
          <w:lang w:val="pt-PT"/>
        </w:rPr>
        <w:t>) + …</w:t>
      </w:r>
    </w:p>
    <w:p w14:paraId="77706902" w14:textId="77777777" w:rsidR="00CD420F" w:rsidRPr="006F6CE9" w:rsidRDefault="00CD420F" w:rsidP="000C5F19">
      <w:pPr>
        <w:tabs>
          <w:tab w:val="left" w:pos="4395"/>
        </w:tabs>
      </w:pPr>
      <w:r w:rsidRPr="0093427A">
        <w:rPr>
          <w:lang w:val="pt-PT"/>
        </w:rPr>
        <w:tab/>
      </w:r>
      <w:r w:rsidRPr="006F6CE9">
        <w:t>(</w:t>
      </w:r>
      <w:proofErr w:type="gramStart"/>
      <w:r w:rsidRPr="006F6CE9">
        <w:t>i</w:t>
      </w:r>
      <w:proofErr w:type="gramEnd"/>
      <w:r w:rsidRPr="006F6CE9">
        <w:t>)</w:t>
      </w:r>
    </w:p>
    <w:p w14:paraId="2E7975D4" w14:textId="77777777" w:rsidR="00CD420F" w:rsidRPr="006F6CE9" w:rsidRDefault="00CD420F" w:rsidP="00237653">
      <w:proofErr w:type="gramStart"/>
      <w:r w:rsidRPr="006F6CE9">
        <w:t>where</w:t>
      </w:r>
      <w:proofErr w:type="gramEnd"/>
      <w:r w:rsidRPr="006F6CE9">
        <w:t xml:space="preserve"> </w:t>
      </w:r>
      <w:r w:rsidRPr="006F6CE9">
        <w:rPr>
          <w:i/>
          <w:iCs/>
        </w:rPr>
        <w:t>R</w:t>
      </w:r>
      <w:r w:rsidRPr="006F6CE9">
        <w:t xml:space="preserve"> = 1 + </w:t>
      </w:r>
      <w:r w:rsidRPr="006F6CE9">
        <w:rPr>
          <w:i/>
          <w:iCs/>
        </w:rPr>
        <w:t>ρ</w:t>
      </w:r>
      <w:r w:rsidRPr="006F6CE9">
        <w:t xml:space="preserve"> and </w:t>
      </w:r>
      <w:r w:rsidRPr="006F6CE9">
        <w:rPr>
          <w:position w:val="-12"/>
        </w:rPr>
        <w:object w:dxaOrig="859" w:dyaOrig="400" w14:anchorId="251114D5">
          <v:shape id="_x0000_i1030" type="#_x0000_t75" style="width:42.8pt;height:20.4pt" o:ole="">
            <v:imagedata r:id="rId22" o:title=""/>
          </v:shape>
          <o:OLEObject Type="Embed" ProgID="Equation.3" ShapeID="_x0000_i1030" DrawAspect="Content" ObjectID="_1522865970" r:id="rId23"/>
        </w:object>
      </w:r>
      <w:r w:rsidRPr="006F6CE9">
        <w:t xml:space="preserve"> can be any sequence of numbers that satisfy the condition </w:t>
      </w:r>
      <w:r w:rsidRPr="006F6CE9">
        <w:rPr>
          <w:i/>
          <w:iCs/>
        </w:rPr>
        <w:t>R</w:t>
      </w:r>
      <w:r w:rsidRPr="006F6CE9">
        <w:rPr>
          <w:vertAlign w:val="superscript"/>
        </w:rPr>
        <w:t>-</w:t>
      </w:r>
      <w:r w:rsidRPr="006F6CE9">
        <w:rPr>
          <w:i/>
          <w:iCs/>
          <w:vertAlign w:val="superscript"/>
        </w:rPr>
        <w:t>T</w:t>
      </w:r>
      <w:r w:rsidRPr="006F6CE9">
        <w:rPr>
          <w:i/>
          <w:iCs/>
        </w:rPr>
        <w:t>B</w:t>
      </w:r>
      <w:r w:rsidRPr="006F6CE9">
        <w:rPr>
          <w:i/>
          <w:iCs/>
          <w:vertAlign w:val="subscript"/>
        </w:rPr>
        <w:t xml:space="preserve">T </w:t>
      </w:r>
      <w:r w:rsidRPr="006F6CE9">
        <w:sym w:font="Symbol" w:char="F0AE"/>
      </w:r>
      <w:r w:rsidRPr="006F6CE9">
        <w:t xml:space="preserve"> 0 as T </w:t>
      </w:r>
      <w:r w:rsidRPr="006F6CE9">
        <w:sym w:font="Symbol" w:char="F0AE"/>
      </w:r>
      <w:r w:rsidRPr="006F6CE9">
        <w:t xml:space="preserve"> </w:t>
      </w:r>
      <w:r w:rsidRPr="006F6CE9">
        <w:rPr>
          <w:position w:val="-4"/>
        </w:rPr>
        <w:object w:dxaOrig="240" w:dyaOrig="200" w14:anchorId="1B58EAF3">
          <v:shape id="_x0000_i1031" type="#_x0000_t75" style="width:12.25pt;height:10.2pt" o:ole="">
            <v:imagedata r:id="rId24" o:title=""/>
          </v:shape>
          <o:OLEObject Type="Embed" ProgID="Equation.3" ShapeID="_x0000_i1031" DrawAspect="Content" ObjectID="_1522865971" r:id="rId25"/>
        </w:object>
      </w:r>
      <w:r w:rsidRPr="006F6CE9">
        <w:t xml:space="preserve">. </w:t>
      </w:r>
    </w:p>
    <w:p w14:paraId="04AA027D" w14:textId="77777777" w:rsidR="00CD420F" w:rsidRPr="006F6CE9" w:rsidRDefault="00CD420F" w:rsidP="00237653">
      <w:r w:rsidRPr="006F6CE9">
        <w:t xml:space="preserve">Adding the present value equation of the future expected dividends (PVD) and equation (i) yields the </w:t>
      </w:r>
      <w:r w:rsidRPr="006F6CE9">
        <w:rPr>
          <w:b/>
          <w:bCs/>
        </w:rPr>
        <w:t>generic model</w:t>
      </w:r>
      <w:r w:rsidRPr="006F6CE9">
        <w:t>:</w:t>
      </w:r>
    </w:p>
    <w:p w14:paraId="092E18EE" w14:textId="77777777" w:rsidR="00CD420F" w:rsidRPr="006F6CE9" w:rsidRDefault="00CD420F" w:rsidP="007E1738">
      <w:pPr>
        <w:tabs>
          <w:tab w:val="left" w:pos="720"/>
          <w:tab w:val="left" w:pos="1109"/>
          <w:tab w:val="left" w:pos="3969"/>
        </w:tabs>
      </w:pPr>
      <w:r w:rsidRPr="006F6CE9">
        <w:tab/>
      </w:r>
      <w:r w:rsidRPr="006F6CE9">
        <w:rPr>
          <w:position w:val="-28"/>
        </w:rPr>
        <w:object w:dxaOrig="4020" w:dyaOrig="680" w14:anchorId="3D3A2F44">
          <v:shape id="_x0000_i1032" type="#_x0000_t75" style="width:158.95pt;height:26.5pt" o:ole="">
            <v:imagedata r:id="rId26" o:title=""/>
          </v:shape>
          <o:OLEObject Type="Embed" ProgID="Equation.3" ShapeID="_x0000_i1032" DrawAspect="Content" ObjectID="_1522865972" r:id="rId27"/>
        </w:object>
      </w:r>
      <w:r w:rsidRPr="006F6CE9">
        <w:tab/>
        <w:t>(ii)</w:t>
      </w:r>
    </w:p>
    <w:p w14:paraId="487F19AF" w14:textId="77777777" w:rsidR="00CD420F" w:rsidRPr="006F6CE9" w:rsidRDefault="00CD420F" w:rsidP="00237653">
      <w:r w:rsidRPr="006F6CE9">
        <w:t xml:space="preserve">The development of the model then turns to the selection of a value-relevant variable. For the RIM model, put </w:t>
      </w:r>
      <w:proofErr w:type="spellStart"/>
      <w:proofErr w:type="gramStart"/>
      <w:r w:rsidRPr="006F6CE9">
        <w:rPr>
          <w:i/>
          <w:iCs/>
        </w:rPr>
        <w:t>B</w:t>
      </w:r>
      <w:r w:rsidRPr="006F6CE9">
        <w:rPr>
          <w:i/>
          <w:iCs/>
          <w:vertAlign w:val="subscript"/>
        </w:rPr>
        <w:t>t</w:t>
      </w:r>
      <w:proofErr w:type="spellEnd"/>
      <w:proofErr w:type="gramEnd"/>
      <w:r w:rsidRPr="006F6CE9">
        <w:t xml:space="preserve"> = expected book value per share (</w:t>
      </w:r>
      <w:proofErr w:type="spellStart"/>
      <w:r w:rsidRPr="006F6CE9">
        <w:t>bvps</w:t>
      </w:r>
      <w:proofErr w:type="spellEnd"/>
      <w:r w:rsidRPr="006F6CE9">
        <w:t xml:space="preserve">), and assume clean surplus accounting so that </w:t>
      </w:r>
      <w:proofErr w:type="spellStart"/>
      <w:r w:rsidRPr="006F6CE9">
        <w:rPr>
          <w:i/>
          <w:iCs/>
        </w:rPr>
        <w:t>eps</w:t>
      </w:r>
      <w:r w:rsidRPr="006F6CE9">
        <w:rPr>
          <w:i/>
          <w:iCs/>
          <w:vertAlign w:val="subscript"/>
        </w:rPr>
        <w:t>t</w:t>
      </w:r>
      <w:proofErr w:type="spellEnd"/>
      <w:r w:rsidRPr="006F6CE9">
        <w:t xml:space="preserve"> = </w:t>
      </w:r>
      <w:proofErr w:type="spellStart"/>
      <w:r w:rsidRPr="006F6CE9">
        <w:t>Δ</w:t>
      </w:r>
      <w:r w:rsidRPr="006F6CE9">
        <w:rPr>
          <w:i/>
          <w:iCs/>
        </w:rPr>
        <w:t>bvlps</w:t>
      </w:r>
      <w:r w:rsidRPr="006F6CE9">
        <w:rPr>
          <w:i/>
          <w:iCs/>
          <w:vertAlign w:val="subscript"/>
        </w:rPr>
        <w:t>t</w:t>
      </w:r>
      <w:proofErr w:type="spellEnd"/>
      <w:r w:rsidRPr="006F6CE9">
        <w:t xml:space="preserve"> + </w:t>
      </w:r>
      <w:proofErr w:type="spellStart"/>
      <w:r w:rsidRPr="006F6CE9">
        <w:rPr>
          <w:i/>
          <w:iCs/>
        </w:rPr>
        <w:t>dps</w:t>
      </w:r>
      <w:r w:rsidRPr="006F6CE9">
        <w:rPr>
          <w:i/>
          <w:iCs/>
          <w:vertAlign w:val="subscript"/>
        </w:rPr>
        <w:t>t</w:t>
      </w:r>
      <w:proofErr w:type="spellEnd"/>
      <w:r w:rsidRPr="006F6CE9">
        <w:t xml:space="preserve">, one can then derive the RIM equation. With respect to the DCM model, consider </w:t>
      </w:r>
      <w:proofErr w:type="spellStart"/>
      <w:proofErr w:type="gramStart"/>
      <w:r w:rsidRPr="006F6CE9">
        <w:rPr>
          <w:i/>
          <w:iCs/>
        </w:rPr>
        <w:t>B</w:t>
      </w:r>
      <w:r w:rsidRPr="006F6CE9">
        <w:rPr>
          <w:i/>
          <w:iCs/>
          <w:vertAlign w:val="subscript"/>
        </w:rPr>
        <w:t>t</w:t>
      </w:r>
      <w:proofErr w:type="spellEnd"/>
      <w:proofErr w:type="gramEnd"/>
      <w:r w:rsidRPr="006F6CE9">
        <w:t xml:space="preserve"> = </w:t>
      </w:r>
      <w:proofErr w:type="spellStart"/>
      <w:r w:rsidRPr="006F6CE9">
        <w:rPr>
          <w:i/>
          <w:iCs/>
        </w:rPr>
        <w:t>FA</w:t>
      </w:r>
      <w:r w:rsidRPr="006F6CE9">
        <w:rPr>
          <w:i/>
          <w:iCs/>
          <w:vertAlign w:val="subscript"/>
        </w:rPr>
        <w:t>t</w:t>
      </w:r>
      <w:proofErr w:type="spellEnd"/>
      <w:r w:rsidRPr="006F6CE9">
        <w:t xml:space="preserve"> and use the relation </w:t>
      </w:r>
      <w:proofErr w:type="spellStart"/>
      <w:r w:rsidRPr="006F6CE9">
        <w:rPr>
          <w:i/>
          <w:iCs/>
        </w:rPr>
        <w:t>FA</w:t>
      </w:r>
      <w:r w:rsidRPr="006F6CE9">
        <w:rPr>
          <w:i/>
          <w:iCs/>
          <w:vertAlign w:val="subscript"/>
        </w:rPr>
        <w:t>t</w:t>
      </w:r>
      <w:proofErr w:type="spellEnd"/>
      <w:r w:rsidRPr="006F6CE9">
        <w:rPr>
          <w:i/>
          <w:iCs/>
        </w:rPr>
        <w:t xml:space="preserve"> </w:t>
      </w:r>
      <w:r w:rsidRPr="006F6CE9">
        <w:t xml:space="preserve">= </w:t>
      </w:r>
      <w:r w:rsidRPr="006F6CE9">
        <w:rPr>
          <w:i/>
          <w:iCs/>
        </w:rPr>
        <w:t>C</w:t>
      </w:r>
      <w:r w:rsidRPr="006F6CE9">
        <w:rPr>
          <w:i/>
          <w:iCs/>
          <w:vertAlign w:val="subscript"/>
        </w:rPr>
        <w:t>t</w:t>
      </w:r>
      <w:r w:rsidRPr="006F6CE9">
        <w:t xml:space="preserve"> + </w:t>
      </w:r>
      <w:r w:rsidRPr="006F6CE9">
        <w:rPr>
          <w:i/>
          <w:iCs/>
        </w:rPr>
        <w:t>R.FA</w:t>
      </w:r>
      <w:r w:rsidRPr="006F6CE9">
        <w:rPr>
          <w:i/>
          <w:iCs/>
          <w:vertAlign w:val="subscript"/>
        </w:rPr>
        <w:t>t</w:t>
      </w:r>
      <w:r w:rsidRPr="006F6CE9">
        <w:rPr>
          <w:vertAlign w:val="subscript"/>
        </w:rPr>
        <w:t>-1</w:t>
      </w:r>
      <w:r w:rsidRPr="006F6CE9">
        <w:t xml:space="preserve"> - </w:t>
      </w:r>
      <w:r w:rsidRPr="006F6CE9">
        <w:rPr>
          <w:i/>
          <w:iCs/>
        </w:rPr>
        <w:t>D</w:t>
      </w:r>
      <w:r w:rsidRPr="006F6CE9">
        <w:rPr>
          <w:i/>
          <w:iCs/>
          <w:vertAlign w:val="subscript"/>
        </w:rPr>
        <w:t>t</w:t>
      </w:r>
      <w:r w:rsidRPr="006F6CE9">
        <w:t xml:space="preserve">, the DCM equation now follows. The OJM model selects </w:t>
      </w:r>
      <w:proofErr w:type="spellStart"/>
      <w:proofErr w:type="gramStart"/>
      <w:r w:rsidRPr="006F6CE9">
        <w:rPr>
          <w:i/>
          <w:iCs/>
        </w:rPr>
        <w:t>B</w:t>
      </w:r>
      <w:r w:rsidRPr="006F6CE9">
        <w:rPr>
          <w:i/>
          <w:iCs/>
          <w:vertAlign w:val="subscript"/>
        </w:rPr>
        <w:t>t</w:t>
      </w:r>
      <w:proofErr w:type="spellEnd"/>
      <w:proofErr w:type="gramEnd"/>
      <w:r w:rsidRPr="006F6CE9">
        <w:t xml:space="preserve"> = </w:t>
      </w:r>
      <w:proofErr w:type="spellStart"/>
      <w:r w:rsidRPr="006F6CE9">
        <w:rPr>
          <w:i/>
          <w:iCs/>
        </w:rPr>
        <w:t>eps</w:t>
      </w:r>
      <w:r w:rsidRPr="006F6CE9">
        <w:rPr>
          <w:i/>
          <w:iCs/>
          <w:vertAlign w:val="subscript"/>
        </w:rPr>
        <w:t>t</w:t>
      </w:r>
      <w:proofErr w:type="spellEnd"/>
      <w:r w:rsidRPr="006F6CE9">
        <w:rPr>
          <w:vertAlign w:val="subscript"/>
        </w:rPr>
        <w:t xml:space="preserve"> + 1</w:t>
      </w:r>
      <w:r w:rsidRPr="006F6CE9">
        <w:t>/</w:t>
      </w:r>
      <w:r w:rsidRPr="006F6CE9">
        <w:rPr>
          <w:i/>
          <w:iCs/>
        </w:rPr>
        <w:t>ρ</w:t>
      </w:r>
      <w:r w:rsidRPr="006F6CE9">
        <w:t xml:space="preserve"> to generate its valuation equations. It is obvious that the introduction of a clean surplus relation is essential in a model development. In the case of RIM and DCM, and their derivation models, the clean surplus relations warrant a direct link between future accounting data and firm value. There is no need for any other assumptions about how accounting attributes relate to dividends. As long as one applies the clean surplus accounting for future periods’ forecasts, the relation in expression (ii) will hold. The situation is a bit different with the OJM model where </w:t>
      </w:r>
      <w:proofErr w:type="spellStart"/>
      <w:r w:rsidRPr="006F6CE9">
        <w:t>Ohlson</w:t>
      </w:r>
      <w:proofErr w:type="spellEnd"/>
      <w:r w:rsidRPr="006F6CE9">
        <w:t xml:space="preserve"> and </w:t>
      </w:r>
      <w:proofErr w:type="spellStart"/>
      <w:r w:rsidRPr="006F6CE9">
        <w:t>Juettner</w:t>
      </w:r>
      <w:proofErr w:type="spellEnd"/>
      <w:r w:rsidRPr="006F6CE9">
        <w:t xml:space="preserve"> (</w:t>
      </w:r>
      <w:r>
        <w:fldChar w:fldCharType="begin"/>
      </w:r>
      <w:r>
        <w:instrText xml:space="preserve"> REF _Ref447644691 \n \h </w:instrText>
      </w:r>
      <w:r>
        <w:fldChar w:fldCharType="separate"/>
      </w:r>
      <w:r>
        <w:t>[14]</w:t>
      </w:r>
      <w:r>
        <w:fldChar w:fldCharType="end"/>
      </w:r>
      <w:r w:rsidRPr="006F6CE9">
        <w:t>) choose to capture the evolution of the earnings through their short-term and long-term growth expressions, rather than using a specific clean surplus relation.</w:t>
      </w:r>
    </w:p>
    <w:p w14:paraId="4F092364" w14:textId="77777777" w:rsidR="00CD420F" w:rsidRPr="006F6CE9" w:rsidRDefault="00CD420F" w:rsidP="00237653">
      <w:r w:rsidRPr="006F6CE9">
        <w:t>The next issue concerns how to quantify the value-relevant sequences. Toward a solution, one can further expand the expressions of the variables. The requirements of any derivations are the empirical validity and practical usefulness. Apparent outcomes are the appearances of more degrees of freedom. All the derived models then face the difficulty dealing with their degrees of freedom. Generally, it is observed that there are two approaches to work with this issue. First, one can focus on modeling the evolution of the value-relevant sequences. This task requires assumptions about the future expectations. As should be the case, care must be put into this step to ensure that the model has its empirical validity. The other approach is about formulating a terminal value for the sequences. Compared with the first approach, this approach is more about a technical application. The two approaches will be discussed in the following sections.</w:t>
      </w:r>
    </w:p>
    <w:p w14:paraId="2C9FA4D9" w14:textId="77777777" w:rsidR="00CD420F" w:rsidRPr="006F6CE9" w:rsidRDefault="00CD420F" w:rsidP="00237653">
      <w:r w:rsidRPr="006F6CE9">
        <w:t>Finally, a valuation model should observe the Miller and Modigliani (</w:t>
      </w:r>
      <w:r>
        <w:fldChar w:fldCharType="begin"/>
      </w:r>
      <w:r>
        <w:instrText xml:space="preserve"> REF _Ref447644792 \n \h </w:instrText>
      </w:r>
      <w:r>
        <w:fldChar w:fldCharType="separate"/>
      </w:r>
      <w:r>
        <w:t>[11]</w:t>
      </w:r>
      <w:r>
        <w:fldChar w:fldCharType="end"/>
      </w:r>
      <w:r w:rsidRPr="006F6CE9">
        <w:t xml:space="preserve">)’s proposition, i.e. the intrinsic value of a firm is insensitive to dividend payout policies. It is hard to interpret a model which is not payout irrelevant. This requirement is to ensure that the developed model has economic sense. </w:t>
      </w:r>
    </w:p>
    <w:p w14:paraId="0383D36E" w14:textId="77777777" w:rsidR="00CD420F" w:rsidRPr="006F6CE9" w:rsidRDefault="00CD420F" w:rsidP="000C5F19">
      <w:pPr>
        <w:pStyle w:val="Heading2"/>
      </w:pPr>
      <w:bookmarkStart w:id="5" w:name="_Toc251749323"/>
      <w:r w:rsidRPr="006F6CE9">
        <w:t>Structuring the evolution of value-relevant variables</w:t>
      </w:r>
      <w:bookmarkEnd w:id="5"/>
    </w:p>
    <w:p w14:paraId="7352D815" w14:textId="77777777" w:rsidR="00CD420F" w:rsidRPr="006F6CE9" w:rsidRDefault="00CD420F" w:rsidP="00237653">
      <w:r w:rsidRPr="006F6CE9">
        <w:lastRenderedPageBreak/>
        <w:t>In the development of a valuation model, one can rely on examining the evolution of the future expected value-relevant sequence to derive practical versions of the model. This process can be done by either structuring the growth or modeling the evolution of the value-relevant variables on the basis of appropriate assumptions.</w:t>
      </w:r>
    </w:p>
    <w:p w14:paraId="4C389584" w14:textId="77777777" w:rsidR="00CD420F" w:rsidRPr="006F6CE9" w:rsidRDefault="00CD420F" w:rsidP="000C5F19">
      <w:r w:rsidRPr="006F6CE9">
        <w:t xml:space="preserve">In the OJM model, two dividend-irrelevant eps-growth measures are specified to describe how the expected earnings sequence evolves. The two eps-growth measures provide enough information about the value-relevant sequence to build up the valuation model. Although the empirical validity of the assumption used to develop the model is still of concerns, the practicality of the model is no less than obvious. With respect to the near-term growth in eps, the measure is usually available with the provision of analyst forecasts (FY1 and FY2 eps). More concern is the long-term growth in eps. It is quite challenging to concretize a quantity at some distant expectations. </w:t>
      </w:r>
      <w:proofErr w:type="spellStart"/>
      <w:r w:rsidRPr="006F6CE9">
        <w:t>Ohlson</w:t>
      </w:r>
      <w:proofErr w:type="spellEnd"/>
      <w:r w:rsidRPr="006F6CE9">
        <w:t xml:space="preserve"> and </w:t>
      </w:r>
      <w:proofErr w:type="spellStart"/>
      <w:r w:rsidRPr="006F6CE9">
        <w:t>Juettner</w:t>
      </w:r>
      <w:proofErr w:type="spellEnd"/>
      <w:r w:rsidRPr="006F6CE9">
        <w:t xml:space="preserve"> (</w:t>
      </w:r>
      <w:r>
        <w:fldChar w:fldCharType="begin"/>
      </w:r>
      <w:r>
        <w:instrText xml:space="preserve"> REF _Ref447644691 \n \h </w:instrText>
      </w:r>
      <w:r>
        <w:fldChar w:fldCharType="separate"/>
      </w:r>
      <w:r>
        <w:t>[14]</w:t>
      </w:r>
      <w:r>
        <w:fldChar w:fldCharType="end"/>
      </w:r>
      <w:r w:rsidRPr="006F6CE9">
        <w:t xml:space="preserve">) claim that the relation </w:t>
      </w:r>
      <w:r w:rsidRPr="006F6CE9">
        <w:rPr>
          <w:i/>
          <w:iCs/>
        </w:rPr>
        <w:t>eps</w:t>
      </w:r>
      <w:r w:rsidRPr="006F6CE9">
        <w:rPr>
          <w:i/>
          <w:iCs/>
          <w:vertAlign w:val="subscript"/>
        </w:rPr>
        <w:t>t</w:t>
      </w:r>
      <w:r w:rsidRPr="006F6CE9">
        <w:rPr>
          <w:vertAlign w:val="subscript"/>
        </w:rPr>
        <w:t>+1</w:t>
      </w:r>
      <w:r w:rsidRPr="006F6CE9">
        <w:t>/</w:t>
      </w:r>
      <w:proofErr w:type="spellStart"/>
      <w:r w:rsidRPr="006F6CE9">
        <w:rPr>
          <w:i/>
          <w:iCs/>
        </w:rPr>
        <w:t>eps</w:t>
      </w:r>
      <w:r w:rsidRPr="006F6CE9">
        <w:rPr>
          <w:i/>
          <w:iCs/>
          <w:vertAlign w:val="subscript"/>
        </w:rPr>
        <w:t>t</w:t>
      </w:r>
      <w:proofErr w:type="spellEnd"/>
      <w:r w:rsidRPr="006F6CE9">
        <w:t xml:space="preserve"> would approximate the long-term growth in </w:t>
      </w:r>
      <w:proofErr w:type="spellStart"/>
      <w:r w:rsidRPr="006F6CE9">
        <w:t>eps</w:t>
      </w:r>
      <w:proofErr w:type="spellEnd"/>
      <w:r w:rsidRPr="006F6CE9">
        <w:t xml:space="preserve"> (</w:t>
      </w:r>
      <w:r w:rsidRPr="006F6CE9">
        <w:rPr>
          <w:i/>
          <w:iCs/>
        </w:rPr>
        <w:t>γ</w:t>
      </w:r>
      <w:r w:rsidRPr="006F6CE9">
        <w:t xml:space="preserve">) as </w:t>
      </w:r>
      <w:proofErr w:type="spellStart"/>
      <w:r w:rsidRPr="006F6CE9">
        <w:rPr>
          <w:i/>
          <w:iCs/>
        </w:rPr>
        <w:t>t</w:t>
      </w:r>
      <w:proofErr w:type="spellEnd"/>
      <w:r w:rsidRPr="006F6CE9">
        <w:t xml:space="preserve"> approaches infinity, provided that the asymptotic dividend policy is “sufficiently generous” (p.357), i.e. </w:t>
      </w:r>
      <w:proofErr w:type="spellStart"/>
      <w:r w:rsidRPr="006F6CE9">
        <w:rPr>
          <w:i/>
          <w:iCs/>
        </w:rPr>
        <w:t>dps</w:t>
      </w:r>
      <w:r w:rsidRPr="006F6CE9">
        <w:rPr>
          <w:i/>
          <w:iCs/>
          <w:vertAlign w:val="subscript"/>
        </w:rPr>
        <w:t>t</w:t>
      </w:r>
      <w:proofErr w:type="spellEnd"/>
      <w:r w:rsidRPr="006F6CE9">
        <w:t>/</w:t>
      </w:r>
      <w:proofErr w:type="spellStart"/>
      <w:r w:rsidRPr="006F6CE9">
        <w:rPr>
          <w:i/>
          <w:iCs/>
        </w:rPr>
        <w:t>eps</w:t>
      </w:r>
      <w:r w:rsidRPr="006F6CE9">
        <w:rPr>
          <w:i/>
          <w:iCs/>
          <w:vertAlign w:val="subscript"/>
        </w:rPr>
        <w:t>t</w:t>
      </w:r>
      <w:proofErr w:type="spellEnd"/>
      <w:r w:rsidRPr="006F6CE9">
        <w:t xml:space="preserve"> ≥ (1 + </w:t>
      </w:r>
      <w:r w:rsidRPr="006F6CE9">
        <w:rPr>
          <w:i/>
          <w:iCs/>
        </w:rPr>
        <w:t>ρ</w:t>
      </w:r>
      <w:r w:rsidRPr="006F6CE9">
        <w:t xml:space="preserve"> </w:t>
      </w:r>
      <w:r w:rsidRPr="006F6CE9">
        <w:rPr>
          <w:i/>
          <w:iCs/>
        </w:rPr>
        <w:t>–</w:t>
      </w:r>
      <w:r w:rsidRPr="006F6CE9">
        <w:t xml:space="preserve"> </w:t>
      </w:r>
      <w:r w:rsidRPr="006F6CE9">
        <w:rPr>
          <w:i/>
          <w:iCs/>
        </w:rPr>
        <w:t>γ</w:t>
      </w:r>
      <w:r w:rsidRPr="006F6CE9">
        <w:t>)/</w:t>
      </w:r>
      <w:r w:rsidRPr="006F6CE9">
        <w:rPr>
          <w:i/>
          <w:iCs/>
        </w:rPr>
        <w:t>ρ</w:t>
      </w:r>
      <w:r w:rsidRPr="006F6CE9">
        <w:t>. Therefore, “the limit growth should correspond to the very long run steady state in which a firm’s growth in expected enough equals the growth in expected GNP” (</w:t>
      </w:r>
      <w:r>
        <w:fldChar w:fldCharType="begin"/>
      </w:r>
      <w:r>
        <w:instrText xml:space="preserve"> REF _Ref447644691 \n \h </w:instrText>
      </w:r>
      <w:r>
        <w:fldChar w:fldCharType="separate"/>
      </w:r>
      <w:r>
        <w:t>[14]</w:t>
      </w:r>
      <w:r>
        <w:fldChar w:fldCharType="end"/>
      </w:r>
      <w:r w:rsidRPr="006F6CE9">
        <w:t>, p359). As such, it may be argued that the long-term growth in eps should be the same for all firms. On the other hand, this would overstate future earnings for firms whose decay in growth rate exceeds the long-term growth rate, and vice versa (</w:t>
      </w:r>
      <w:r>
        <w:fldChar w:fldCharType="begin"/>
      </w:r>
      <w:r>
        <w:instrText xml:space="preserve"> REF _Ref447644713 \n \h </w:instrText>
      </w:r>
      <w:r>
        <w:fldChar w:fldCharType="separate"/>
      </w:r>
      <w:r>
        <w:t>[8]</w:t>
      </w:r>
      <w:r>
        <w:fldChar w:fldCharType="end"/>
      </w:r>
      <w:r w:rsidRPr="006F6CE9">
        <w:t xml:space="preserve">). Alternatively, one may think of the convergence of </w:t>
      </w:r>
      <w:r w:rsidRPr="006F6CE9">
        <w:rPr>
          <w:i/>
          <w:iCs/>
        </w:rPr>
        <w:t>eps</w:t>
      </w:r>
      <w:r w:rsidRPr="006F6CE9">
        <w:rPr>
          <w:i/>
          <w:iCs/>
          <w:vertAlign w:val="subscript"/>
        </w:rPr>
        <w:t>t</w:t>
      </w:r>
      <w:r w:rsidRPr="006F6CE9">
        <w:rPr>
          <w:vertAlign w:val="subscript"/>
        </w:rPr>
        <w:t>+1</w:t>
      </w:r>
      <w:r w:rsidRPr="006F6CE9">
        <w:t>/</w:t>
      </w:r>
      <w:proofErr w:type="spellStart"/>
      <w:r w:rsidRPr="006F6CE9">
        <w:rPr>
          <w:i/>
          <w:iCs/>
        </w:rPr>
        <w:t>eps</w:t>
      </w:r>
      <w:r w:rsidRPr="006F6CE9">
        <w:rPr>
          <w:i/>
          <w:iCs/>
          <w:vertAlign w:val="subscript"/>
        </w:rPr>
        <w:t>t</w:t>
      </w:r>
      <w:proofErr w:type="spellEnd"/>
      <w:r w:rsidRPr="006F6CE9">
        <w:t xml:space="preserve"> to the long-term growth rate in a more narrow extent, the firm’s industry level, and in a time range of about 10-15 years.</w:t>
      </w:r>
    </w:p>
    <w:p w14:paraId="31CCB468" w14:textId="77777777" w:rsidR="00CD420F" w:rsidRPr="006F6CE9" w:rsidRDefault="00CD420F" w:rsidP="00237653">
      <w:r w:rsidRPr="006F6CE9">
        <w:t xml:space="preserve">In relation to the RIM model, </w:t>
      </w:r>
      <w:proofErr w:type="spellStart"/>
      <w:r w:rsidRPr="006F6CE9">
        <w:t>Ohlson</w:t>
      </w:r>
      <w:proofErr w:type="spellEnd"/>
      <w:r w:rsidRPr="006F6CE9">
        <w:t xml:space="preserve"> (</w:t>
      </w:r>
      <w:r>
        <w:fldChar w:fldCharType="begin"/>
      </w:r>
      <w:r>
        <w:instrText xml:space="preserve"> REF _Ref447644446 \n \h </w:instrText>
      </w:r>
      <w:r>
        <w:fldChar w:fldCharType="separate"/>
      </w:r>
      <w:r>
        <w:t>[12]</w:t>
      </w:r>
      <w:r>
        <w:fldChar w:fldCharType="end"/>
      </w:r>
      <w:r w:rsidRPr="006F6CE9">
        <w:t xml:space="preserve">) deals with the issue by introducing a model for the evolution of the central variable, residual income (abnormal earnings), </w:t>
      </w:r>
      <w:r w:rsidRPr="006F6CE9">
        <w:rPr>
          <w:i/>
          <w:iCs/>
        </w:rPr>
        <w:t>RI</w:t>
      </w:r>
      <w:r w:rsidRPr="006F6CE9">
        <w:t xml:space="preserve">. The related assumptions imply that the market price fully reflects all public information available at date </w:t>
      </w:r>
      <w:r w:rsidRPr="006F6CE9">
        <w:rPr>
          <w:i/>
          <w:iCs/>
        </w:rPr>
        <w:t>t</w:t>
      </w:r>
      <w:r w:rsidRPr="006F6CE9">
        <w:t xml:space="preserve">. The information set includes all publicly available financial accounting information and other information, </w:t>
      </w:r>
      <w:proofErr w:type="spellStart"/>
      <w:proofErr w:type="gramStart"/>
      <w:r w:rsidRPr="006F6CE9">
        <w:rPr>
          <w:i/>
          <w:iCs/>
        </w:rPr>
        <w:t>v</w:t>
      </w:r>
      <w:r w:rsidRPr="006F6CE9">
        <w:rPr>
          <w:i/>
          <w:iCs/>
          <w:vertAlign w:val="subscript"/>
        </w:rPr>
        <w:t>t</w:t>
      </w:r>
      <w:proofErr w:type="gramEnd"/>
      <w:r w:rsidRPr="006F6CE9">
        <w:t>.</w:t>
      </w:r>
      <w:proofErr w:type="spellEnd"/>
      <w:r w:rsidRPr="006F6CE9">
        <w:t xml:space="preserve"> These components of information are incorporated into the following linear information dynamics (LID):</w:t>
      </w:r>
    </w:p>
    <w:p w14:paraId="1531D040" w14:textId="77777777" w:rsidR="00CD420F" w:rsidRPr="006F6CE9" w:rsidRDefault="00CD420F" w:rsidP="000C5F19">
      <w:pPr>
        <w:tabs>
          <w:tab w:val="left" w:pos="720"/>
          <w:tab w:val="left" w:pos="1109"/>
          <w:tab w:val="left" w:pos="3969"/>
        </w:tabs>
      </w:pPr>
      <w:r w:rsidRPr="006F6CE9">
        <w:tab/>
      </w:r>
      <w:r w:rsidRPr="006F6CE9">
        <w:rPr>
          <w:position w:val="-34"/>
        </w:rPr>
        <w:object w:dxaOrig="2320" w:dyaOrig="800" w14:anchorId="7C340603">
          <v:shape id="_x0000_i1033" type="#_x0000_t75" style="width:93.05pt;height:31.9pt" o:ole="">
            <v:imagedata r:id="rId28" o:title=""/>
          </v:shape>
          <o:OLEObject Type="Embed" ProgID="Equation.3" ShapeID="_x0000_i1033" DrawAspect="Content" ObjectID="_1522865973" r:id="rId29"/>
        </w:object>
      </w:r>
      <w:r w:rsidRPr="006F6CE9">
        <w:tab/>
        <w:t>(LID)</w:t>
      </w:r>
    </w:p>
    <w:p w14:paraId="330EF241" w14:textId="77777777" w:rsidR="00CD420F" w:rsidRPr="006F6CE9" w:rsidRDefault="00CD420F" w:rsidP="000C5F19">
      <w:pPr>
        <w:tabs>
          <w:tab w:val="left" w:pos="720"/>
          <w:tab w:val="left" w:pos="1109"/>
          <w:tab w:val="left" w:pos="7920"/>
        </w:tabs>
      </w:pPr>
      <w:r w:rsidRPr="006F6CE9">
        <w:t xml:space="preserve">where </w:t>
      </w:r>
      <w:r w:rsidRPr="006F6CE9">
        <w:rPr>
          <w:i/>
          <w:iCs/>
        </w:rPr>
        <w:t>ω</w:t>
      </w:r>
      <w:r w:rsidRPr="006F6CE9">
        <w:t xml:space="preserve"> measures the persistence of current residual income in mapping into next-period residual income, </w:t>
      </w:r>
      <w:r w:rsidRPr="006F6CE9">
        <w:rPr>
          <w:i/>
          <w:iCs/>
        </w:rPr>
        <w:t>η</w:t>
      </w:r>
      <w:r w:rsidRPr="006F6CE9">
        <w:t xml:space="preserve"> represents the extent to which current </w:t>
      </w:r>
      <w:r w:rsidRPr="006F6CE9">
        <w:rPr>
          <w:i/>
          <w:iCs/>
        </w:rPr>
        <w:t xml:space="preserve">v </w:t>
      </w:r>
      <w:r w:rsidRPr="006F6CE9">
        <w:t xml:space="preserve">mapping into residual income beyond next period, and </w:t>
      </w:r>
      <w:r w:rsidRPr="006F6CE9">
        <w:rPr>
          <w:i/>
          <w:iCs/>
        </w:rPr>
        <w:t>ε</w:t>
      </w:r>
      <w:r w:rsidRPr="006F6CE9">
        <w:rPr>
          <w:vertAlign w:val="subscript"/>
        </w:rPr>
        <w:t>1,2</w:t>
      </w:r>
      <w:r w:rsidRPr="006F6CE9">
        <w:t xml:space="preserve"> are the disturbance terms being zero-mean unpredictable but otherwise unrestricted. The other information, in nature, captures all value-relevant events that have not given impact to the financial statements, and should be recognized as a factor in the prediction of future residual income.</w:t>
      </w:r>
    </w:p>
    <w:p w14:paraId="5F707AA2" w14:textId="77777777" w:rsidR="00CD420F" w:rsidRPr="006F6CE9" w:rsidRDefault="00CD420F" w:rsidP="00237653">
      <w:r w:rsidRPr="006F6CE9">
        <w:t xml:space="preserve">It is noted that assumption LID is not only built up for the development of the RIM model. Much broader, assumption LID combined with the PVD and </w:t>
      </w:r>
      <w:proofErr w:type="gramStart"/>
      <w:r w:rsidRPr="006F6CE9">
        <w:t xml:space="preserve">CSR </w:t>
      </w:r>
      <w:r w:rsidRPr="006F6CE9">
        <w:lastRenderedPageBreak/>
        <w:t>assumptions forms</w:t>
      </w:r>
      <w:proofErr w:type="gramEnd"/>
      <w:r w:rsidRPr="006F6CE9">
        <w:t xml:space="preserve"> the earnings-book values-dividends framework (EBD) (</w:t>
      </w:r>
      <w:r>
        <w:fldChar w:fldCharType="begin"/>
      </w:r>
      <w:r>
        <w:instrText xml:space="preserve"> REF _Ref447644900 \n \h </w:instrText>
      </w:r>
      <w:r>
        <w:fldChar w:fldCharType="separate"/>
      </w:r>
      <w:r>
        <w:t>[13]</w:t>
      </w:r>
      <w:r>
        <w:fldChar w:fldCharType="end"/>
      </w:r>
      <w:r w:rsidRPr="006F6CE9">
        <w:t>). By utilizing the EBD framework, one can yield other derivations beyond the RIM equation. In particular, two equivalent expressions for firm value of current accounting data and other information can be produced as follows:</w:t>
      </w:r>
    </w:p>
    <w:p w14:paraId="791D7C94" w14:textId="77777777" w:rsidR="00CD420F" w:rsidRPr="006F6CE9" w:rsidRDefault="00CD420F" w:rsidP="000C5F19">
      <w:pPr>
        <w:tabs>
          <w:tab w:val="left" w:pos="720"/>
          <w:tab w:val="left" w:pos="1109"/>
          <w:tab w:val="left" w:pos="7920"/>
        </w:tabs>
      </w:pPr>
      <w:r w:rsidRPr="006F6CE9">
        <w:tab/>
      </w:r>
      <w:r w:rsidRPr="006F6CE9">
        <w:rPr>
          <w:position w:val="-12"/>
        </w:rPr>
        <w:object w:dxaOrig="2380" w:dyaOrig="380" w14:anchorId="72D797C6">
          <v:shape id="_x0000_i1034" type="#_x0000_t75" style="width:91.7pt;height:14.95pt" o:ole="">
            <v:imagedata r:id="rId30" o:title=""/>
          </v:shape>
          <o:OLEObject Type="Embed" ProgID="Equation.3" ShapeID="_x0000_i1034" DrawAspect="Content" ObjectID="_1522865974" r:id="rId31"/>
        </w:object>
      </w:r>
    </w:p>
    <w:p w14:paraId="7B4130E6" w14:textId="77777777" w:rsidR="00CD420F" w:rsidRPr="006F6CE9" w:rsidRDefault="00CD420F" w:rsidP="000C5F19">
      <w:pPr>
        <w:tabs>
          <w:tab w:val="left" w:pos="720"/>
          <w:tab w:val="left" w:pos="1109"/>
          <w:tab w:val="left" w:pos="7920"/>
        </w:tabs>
      </w:pPr>
      <w:r w:rsidRPr="006F6CE9">
        <w:tab/>
      </w:r>
      <w:r w:rsidRPr="006F6CE9">
        <w:rPr>
          <w:position w:val="-12"/>
        </w:rPr>
        <w:object w:dxaOrig="3600" w:dyaOrig="360" w14:anchorId="53E67C57">
          <v:shape id="_x0000_i1035" type="#_x0000_t75" style="width:135.15pt;height:13.6pt" o:ole="">
            <v:imagedata r:id="rId32" o:title=""/>
          </v:shape>
          <o:OLEObject Type="Embed" ProgID="Equation.3" ShapeID="_x0000_i1035" DrawAspect="Content" ObjectID="_1522865975" r:id="rId33"/>
        </w:object>
      </w:r>
    </w:p>
    <w:p w14:paraId="0EFDE091" w14:textId="77777777" w:rsidR="00CD420F" w:rsidRPr="006F6CE9" w:rsidRDefault="00CD420F" w:rsidP="000C5F19">
      <w:pPr>
        <w:tabs>
          <w:tab w:val="left" w:pos="720"/>
          <w:tab w:val="left" w:pos="1109"/>
          <w:tab w:val="left" w:pos="7920"/>
        </w:tabs>
        <w:spacing w:after="0"/>
        <w:ind w:firstLine="0"/>
      </w:pPr>
      <w:proofErr w:type="gramStart"/>
      <w:r w:rsidRPr="006F6CE9">
        <w:t>where</w:t>
      </w:r>
      <w:proofErr w:type="gramEnd"/>
      <w:r w:rsidRPr="006F6CE9">
        <w:t xml:space="preserve">: </w:t>
      </w:r>
      <w:r w:rsidRPr="006F6CE9">
        <w:rPr>
          <w:position w:val="-30"/>
        </w:rPr>
        <w:object w:dxaOrig="2780" w:dyaOrig="720" w14:anchorId="4C3D07B9">
          <v:shape id="_x0000_i1036" type="#_x0000_t75" style="width:107.3pt;height:28.55pt" o:ole="">
            <v:imagedata r:id="rId34" o:title=""/>
          </v:shape>
          <o:OLEObject Type="Embed" ProgID="Equation.3" ShapeID="_x0000_i1036" DrawAspect="Content" ObjectID="_1522865976" r:id="rId35"/>
        </w:object>
      </w:r>
      <w:r w:rsidRPr="006F6CE9">
        <w:t xml:space="preserve">  </w:t>
      </w:r>
      <w:r w:rsidRPr="006F6CE9">
        <w:rPr>
          <w:i/>
          <w:iCs/>
        </w:rPr>
        <w:t xml:space="preserve">m </w:t>
      </w:r>
      <w:r w:rsidRPr="006F6CE9">
        <w:t xml:space="preserve">= </w:t>
      </w:r>
      <w:proofErr w:type="spellStart"/>
      <w:r w:rsidRPr="006F6CE9">
        <w:rPr>
          <w:i/>
          <w:iCs/>
        </w:rPr>
        <w:t>ρω</w:t>
      </w:r>
      <w:proofErr w:type="spellEnd"/>
      <w:r w:rsidRPr="006F6CE9">
        <w:t>/(</w:t>
      </w:r>
      <w:r w:rsidRPr="006F6CE9">
        <w:rPr>
          <w:i/>
          <w:iCs/>
        </w:rPr>
        <w:t>R</w:t>
      </w:r>
      <w:r w:rsidRPr="006F6CE9">
        <w:t xml:space="preserve"> – </w:t>
      </w:r>
      <w:r w:rsidRPr="006F6CE9">
        <w:rPr>
          <w:i/>
          <w:iCs/>
        </w:rPr>
        <w:t>ω</w:t>
      </w:r>
      <w:r w:rsidRPr="006F6CE9">
        <w:t xml:space="preserve">) </w:t>
      </w:r>
      <w:r w:rsidRPr="006F6CE9">
        <w:rPr>
          <w:position w:val="-4"/>
        </w:rPr>
        <w:object w:dxaOrig="200" w:dyaOrig="240" w14:anchorId="5C5E102F">
          <v:shape id="_x0000_i1037" type="#_x0000_t75" style="width:10.2pt;height:12.25pt" o:ole="">
            <v:imagedata r:id="rId36" o:title=""/>
          </v:shape>
          <o:OLEObject Type="Embed" ProgID="Equation.3" ShapeID="_x0000_i1037" DrawAspect="Content" ObjectID="_1522865977" r:id="rId37"/>
        </w:object>
      </w:r>
      <w:r w:rsidRPr="006F6CE9">
        <w:t xml:space="preserve">0; and </w:t>
      </w:r>
      <w:r w:rsidRPr="006F6CE9">
        <w:rPr>
          <w:position w:val="-10"/>
        </w:rPr>
        <w:object w:dxaOrig="1280" w:dyaOrig="320" w14:anchorId="1F9FBBF5">
          <v:shape id="_x0000_i1038" type="#_x0000_t75" style="width:50.95pt;height:12.25pt" o:ole="">
            <v:imagedata r:id="rId38" o:title=""/>
          </v:shape>
          <o:OLEObject Type="Embed" ProgID="Equation.3" ShapeID="_x0000_i1038" DrawAspect="Content" ObjectID="_1522865978" r:id="rId39"/>
        </w:object>
      </w:r>
      <w:r w:rsidRPr="006F6CE9">
        <w:t>; (|</w:t>
      </w:r>
      <w:r w:rsidRPr="006F6CE9">
        <w:rPr>
          <w:i/>
          <w:iCs/>
        </w:rPr>
        <w:t>ω</w:t>
      </w:r>
      <w:r w:rsidRPr="006F6CE9">
        <w:t>|,</w:t>
      </w:r>
      <w:r w:rsidRPr="006F6CE9">
        <w:rPr>
          <w:i/>
          <w:iCs/>
        </w:rPr>
        <w:t xml:space="preserve"> |η| &lt; R</w:t>
      </w:r>
      <w:r w:rsidRPr="006F6CE9">
        <w:t>)</w:t>
      </w:r>
    </w:p>
    <w:p w14:paraId="3C9CDBA4" w14:textId="77777777" w:rsidR="00CD420F" w:rsidRPr="006F6CE9" w:rsidRDefault="00CD420F" w:rsidP="00237653">
      <w:r w:rsidRPr="006F6CE9">
        <w:t xml:space="preserve">The existence of </w:t>
      </w:r>
      <w:r w:rsidRPr="006F6CE9">
        <w:rPr>
          <w:i/>
          <w:iCs/>
        </w:rPr>
        <w:t>v</w:t>
      </w:r>
      <w:r w:rsidRPr="006F6CE9">
        <w:t xml:space="preserve"> emphasizes the fact that the other information does play role in estimating firm value. One needs to take the other information into account when predicting future residual income. Hand (</w:t>
      </w:r>
      <w:r>
        <w:fldChar w:fldCharType="begin"/>
      </w:r>
      <w:r>
        <w:instrText xml:space="preserve"> REF _Ref447644912 \n \h </w:instrText>
      </w:r>
      <w:r>
        <w:fldChar w:fldCharType="separate"/>
      </w:r>
      <w:r>
        <w:t>[9]</w:t>
      </w:r>
      <w:r>
        <w:fldChar w:fldCharType="end"/>
      </w:r>
      <w:r w:rsidRPr="006F6CE9">
        <w:t xml:space="preserve">) supports </w:t>
      </w:r>
      <w:proofErr w:type="spellStart"/>
      <w:r w:rsidRPr="006F6CE9">
        <w:t>Ohlson</w:t>
      </w:r>
      <w:proofErr w:type="spellEnd"/>
      <w:r w:rsidRPr="006F6CE9">
        <w:t xml:space="preserve"> (</w:t>
      </w:r>
      <w:r>
        <w:fldChar w:fldCharType="begin"/>
      </w:r>
      <w:r>
        <w:instrText xml:space="preserve"> REF _Ref447644900 \n \h </w:instrText>
      </w:r>
      <w:r>
        <w:fldChar w:fldCharType="separate"/>
      </w:r>
      <w:r>
        <w:t>[13]</w:t>
      </w:r>
      <w:r>
        <w:fldChar w:fldCharType="end"/>
      </w:r>
      <w:r w:rsidRPr="006F6CE9">
        <w:t xml:space="preserve">) by repeating that “while ignoring </w:t>
      </w:r>
      <w:r w:rsidRPr="006F6CE9">
        <w:rPr>
          <w:i/>
          <w:iCs/>
        </w:rPr>
        <w:t>v</w:t>
      </w:r>
      <w:r w:rsidRPr="006F6CE9">
        <w:t xml:space="preserve"> may be of analytic interest, doing so makes the </w:t>
      </w:r>
      <w:proofErr w:type="spellStart"/>
      <w:r w:rsidRPr="006F6CE9">
        <w:t>Ohlson</w:t>
      </w:r>
      <w:proofErr w:type="spellEnd"/>
      <w:r w:rsidRPr="006F6CE9">
        <w:t xml:space="preserve"> model ‘patently simplistic’” (p.123). Nevertheless, there are claims that </w:t>
      </w:r>
      <w:r w:rsidRPr="006F6CE9">
        <w:rPr>
          <w:i/>
          <w:iCs/>
        </w:rPr>
        <w:t>v</w:t>
      </w:r>
      <w:r w:rsidRPr="006F6CE9">
        <w:t xml:space="preserve"> is unspecified. To this issue, </w:t>
      </w:r>
      <w:proofErr w:type="spellStart"/>
      <w:r w:rsidRPr="006F6CE9">
        <w:t>Ohlson</w:t>
      </w:r>
      <w:proofErr w:type="spellEnd"/>
      <w:r w:rsidRPr="006F6CE9">
        <w:t xml:space="preserve"> (</w:t>
      </w:r>
      <w:r>
        <w:fldChar w:fldCharType="begin"/>
      </w:r>
      <w:r>
        <w:instrText xml:space="preserve"> REF _Ref447644900 \n \h </w:instrText>
      </w:r>
      <w:r>
        <w:fldChar w:fldCharType="separate"/>
      </w:r>
      <w:r>
        <w:t>[13]</w:t>
      </w:r>
      <w:r>
        <w:fldChar w:fldCharType="end"/>
      </w:r>
      <w:r w:rsidRPr="006F6CE9">
        <w:t xml:space="preserve">) insists that as long as one accepts the assumption that expected earnings are as observable as realized earnings, </w:t>
      </w:r>
      <w:r w:rsidRPr="006F6CE9">
        <w:rPr>
          <w:i/>
          <w:iCs/>
        </w:rPr>
        <w:t xml:space="preserve">v </w:t>
      </w:r>
      <w:r w:rsidRPr="006F6CE9">
        <w:t xml:space="preserve">can be substituted with simple algebra operation. Variable </w:t>
      </w:r>
      <w:r w:rsidRPr="006F6CE9">
        <w:rPr>
          <w:i/>
          <w:iCs/>
        </w:rPr>
        <w:t>v</w:t>
      </w:r>
      <w:r w:rsidRPr="006F6CE9">
        <w:t xml:space="preserve"> is defined as part of the next </w:t>
      </w:r>
      <w:proofErr w:type="gramStart"/>
      <w:r w:rsidRPr="006F6CE9">
        <w:t>period’s</w:t>
      </w:r>
      <w:proofErr w:type="gramEnd"/>
      <w:r w:rsidRPr="006F6CE9">
        <w:t xml:space="preserve"> expected residual income in excess of the purely autoregressive forecast:</w:t>
      </w:r>
    </w:p>
    <w:p w14:paraId="68A2E88F" w14:textId="77777777" w:rsidR="00CD420F" w:rsidRPr="006F6CE9" w:rsidRDefault="00CD420F" w:rsidP="00BC3CBC">
      <w:pPr>
        <w:tabs>
          <w:tab w:val="left" w:pos="720"/>
          <w:tab w:val="left" w:pos="1109"/>
          <w:tab w:val="left" w:pos="7920"/>
        </w:tabs>
        <w:spacing w:afterLines="50" w:after="120"/>
        <w:rPr>
          <w:i/>
          <w:iCs/>
        </w:rPr>
      </w:pPr>
      <w:r w:rsidRPr="006F6CE9">
        <w:tab/>
      </w:r>
      <w:proofErr w:type="spellStart"/>
      <w:proofErr w:type="gramStart"/>
      <w:r w:rsidRPr="006F6CE9">
        <w:rPr>
          <w:i/>
          <w:iCs/>
        </w:rPr>
        <w:t>v</w:t>
      </w:r>
      <w:r w:rsidRPr="006F6CE9">
        <w:rPr>
          <w:i/>
          <w:iCs/>
          <w:vertAlign w:val="subscript"/>
        </w:rPr>
        <w:t>t</w:t>
      </w:r>
      <w:proofErr w:type="spellEnd"/>
      <w:proofErr w:type="gramEnd"/>
      <w:r w:rsidRPr="006F6CE9">
        <w:t xml:space="preserve"> = </w:t>
      </w:r>
      <w:r w:rsidRPr="006F6CE9">
        <w:rPr>
          <w:i/>
          <w:iCs/>
        </w:rPr>
        <w:t>E</w:t>
      </w:r>
      <w:r w:rsidRPr="006F6CE9">
        <w:rPr>
          <w:i/>
          <w:iCs/>
          <w:vertAlign w:val="subscript"/>
        </w:rPr>
        <w:t>t</w:t>
      </w:r>
      <w:r w:rsidRPr="006F6CE9">
        <w:t>[</w:t>
      </w:r>
      <w:r w:rsidRPr="006F6CE9">
        <w:rPr>
          <w:i/>
          <w:iCs/>
        </w:rPr>
        <w:t>RI</w:t>
      </w:r>
      <w:r w:rsidRPr="006F6CE9">
        <w:rPr>
          <w:i/>
          <w:iCs/>
          <w:vertAlign w:val="subscript"/>
        </w:rPr>
        <w:t>t</w:t>
      </w:r>
      <w:r w:rsidRPr="006F6CE9">
        <w:rPr>
          <w:vertAlign w:val="subscript"/>
        </w:rPr>
        <w:t>+1</w:t>
      </w:r>
      <w:r w:rsidRPr="006F6CE9">
        <w:t xml:space="preserve">] - </w:t>
      </w:r>
      <w:proofErr w:type="spellStart"/>
      <w:r w:rsidRPr="006F6CE9">
        <w:rPr>
          <w:i/>
          <w:iCs/>
        </w:rPr>
        <w:t>ωRI</w:t>
      </w:r>
      <w:r w:rsidRPr="006F6CE9">
        <w:rPr>
          <w:i/>
          <w:iCs/>
          <w:vertAlign w:val="subscript"/>
        </w:rPr>
        <w:t>t</w:t>
      </w:r>
      <w:proofErr w:type="spellEnd"/>
    </w:p>
    <w:p w14:paraId="4CC0A8D0" w14:textId="77777777" w:rsidR="00CD420F" w:rsidRPr="006F6CE9" w:rsidRDefault="00CD420F" w:rsidP="00237653">
      <w:r w:rsidRPr="006F6CE9">
        <w:t xml:space="preserve">Using this definition of </w:t>
      </w:r>
      <w:r w:rsidRPr="006F6CE9">
        <w:rPr>
          <w:i/>
          <w:iCs/>
        </w:rPr>
        <w:t>v</w:t>
      </w:r>
      <w:r w:rsidRPr="006F6CE9">
        <w:t xml:space="preserve"> to rewrite the above </w:t>
      </w:r>
      <w:r w:rsidRPr="006F6CE9">
        <w:rPr>
          <w:i/>
          <w:iCs/>
        </w:rPr>
        <w:t>IV</w:t>
      </w:r>
      <w:r w:rsidRPr="006F6CE9">
        <w:t xml:space="preserve"> expressions leads to the other two equivalents:</w:t>
      </w:r>
    </w:p>
    <w:p w14:paraId="16191EDD" w14:textId="77777777" w:rsidR="00CD420F" w:rsidRPr="006F6CE9" w:rsidRDefault="00CD420F" w:rsidP="000C5F19">
      <w:pPr>
        <w:tabs>
          <w:tab w:val="left" w:pos="720"/>
          <w:tab w:val="left" w:pos="1109"/>
          <w:tab w:val="left" w:pos="7920"/>
        </w:tabs>
      </w:pPr>
      <w:r w:rsidRPr="006F6CE9">
        <w:tab/>
      </w:r>
      <w:r w:rsidRPr="006F6CE9">
        <w:rPr>
          <w:position w:val="-32"/>
        </w:rPr>
        <w:object w:dxaOrig="4120" w:dyaOrig="760" w14:anchorId="4DFA7A86">
          <v:shape id="_x0000_i1039" type="#_x0000_t75" style="width:156.25pt;height:29.2pt" o:ole="">
            <v:imagedata r:id="rId40" o:title=""/>
          </v:shape>
          <o:OLEObject Type="Embed" ProgID="Equation.3" ShapeID="_x0000_i1039" DrawAspect="Content" ObjectID="_1522865979" r:id="rId41"/>
        </w:object>
      </w:r>
    </w:p>
    <w:p w14:paraId="5CC1BBF5" w14:textId="77777777" w:rsidR="00CD420F" w:rsidRPr="006F6CE9" w:rsidRDefault="00CD420F" w:rsidP="000C5F19">
      <w:pPr>
        <w:tabs>
          <w:tab w:val="left" w:pos="720"/>
          <w:tab w:val="left" w:pos="1109"/>
          <w:tab w:val="left" w:pos="7920"/>
        </w:tabs>
        <w:spacing w:after="0"/>
      </w:pPr>
      <w:r w:rsidRPr="006F6CE9">
        <w:t xml:space="preserve">where: </w:t>
      </w:r>
      <w:r w:rsidRPr="006F6CE9">
        <w:rPr>
          <w:position w:val="-10"/>
        </w:rPr>
        <w:object w:dxaOrig="279" w:dyaOrig="340" w14:anchorId="1D3B3C53">
          <v:shape id="_x0000_i1040" type="#_x0000_t75" style="width:12.25pt;height:14.25pt" o:ole="">
            <v:imagedata r:id="rId42" o:title=""/>
          </v:shape>
          <o:OLEObject Type="Embed" ProgID="Equation.3" ShapeID="_x0000_i1040" DrawAspect="Content" ObjectID="_1522865980" r:id="rId43"/>
        </w:object>
      </w:r>
      <w:r w:rsidRPr="0093427A">
        <w:rPr>
          <w:i/>
          <w:iCs/>
        </w:rPr>
        <w:t>=</w:t>
      </w:r>
      <w:r w:rsidRPr="0093427A">
        <w:t xml:space="preserve"> </w:t>
      </w:r>
      <w:r w:rsidRPr="006F6CE9">
        <w:rPr>
          <w:i/>
          <w:iCs/>
        </w:rPr>
        <w:t>R</w:t>
      </w:r>
      <w:r w:rsidRPr="0093427A">
        <w:t xml:space="preserve">(1 </w:t>
      </w:r>
      <w:r w:rsidRPr="0093427A">
        <w:rPr>
          <w:i/>
          <w:iCs/>
        </w:rPr>
        <w:t>–</w:t>
      </w:r>
      <w:r w:rsidRPr="0093427A">
        <w:t xml:space="preserve"> </w:t>
      </w:r>
      <w:r w:rsidRPr="006F6CE9">
        <w:rPr>
          <w:i/>
          <w:iCs/>
          <w:lang w:val="el-GR"/>
        </w:rPr>
        <w:t>ω</w:t>
      </w:r>
      <w:r w:rsidRPr="0093427A">
        <w:t xml:space="preserve">)(1 </w:t>
      </w:r>
      <w:r w:rsidRPr="0093427A">
        <w:rPr>
          <w:i/>
          <w:iCs/>
        </w:rPr>
        <w:t>–</w:t>
      </w:r>
      <w:r w:rsidRPr="0093427A">
        <w:t xml:space="preserve"> </w:t>
      </w:r>
      <w:r w:rsidRPr="006F6CE9">
        <w:rPr>
          <w:i/>
          <w:iCs/>
          <w:lang w:val="el-GR"/>
        </w:rPr>
        <w:t>η</w:t>
      </w:r>
      <w:r w:rsidRPr="0093427A">
        <w:t>)/[(</w:t>
      </w:r>
      <w:r w:rsidRPr="006F6CE9">
        <w:rPr>
          <w:i/>
          <w:iCs/>
        </w:rPr>
        <w:t>R</w:t>
      </w:r>
      <w:r w:rsidRPr="0093427A">
        <w:t xml:space="preserve"> </w:t>
      </w:r>
      <w:r w:rsidRPr="0093427A">
        <w:rPr>
          <w:i/>
          <w:iCs/>
        </w:rPr>
        <w:t>–</w:t>
      </w:r>
      <w:r w:rsidRPr="0093427A">
        <w:t xml:space="preserve"> </w:t>
      </w:r>
      <w:r w:rsidRPr="006F6CE9">
        <w:rPr>
          <w:i/>
          <w:iCs/>
          <w:lang w:val="el-GR"/>
        </w:rPr>
        <w:t>ω</w:t>
      </w:r>
      <w:r w:rsidRPr="0093427A">
        <w:t>)(</w:t>
      </w:r>
      <w:r w:rsidRPr="006F6CE9">
        <w:rPr>
          <w:i/>
          <w:iCs/>
        </w:rPr>
        <w:t>R</w:t>
      </w:r>
      <w:r w:rsidRPr="0093427A">
        <w:t xml:space="preserve"> </w:t>
      </w:r>
      <w:r w:rsidRPr="0093427A">
        <w:rPr>
          <w:i/>
          <w:iCs/>
        </w:rPr>
        <w:t>–</w:t>
      </w:r>
      <w:r w:rsidRPr="0093427A">
        <w:t xml:space="preserve"> </w:t>
      </w:r>
      <w:r w:rsidRPr="006F6CE9">
        <w:rPr>
          <w:i/>
          <w:iCs/>
          <w:lang w:val="el-GR"/>
        </w:rPr>
        <w:t>η</w:t>
      </w:r>
      <w:r w:rsidRPr="0093427A">
        <w:t xml:space="preserve">)] </w:t>
      </w:r>
      <w:r w:rsidRPr="006F6CE9">
        <w:rPr>
          <w:position w:val="-4"/>
        </w:rPr>
        <w:object w:dxaOrig="200" w:dyaOrig="240" w14:anchorId="0486073C">
          <v:shape id="_x0000_i1041" type="#_x0000_t75" style="width:10.2pt;height:12.25pt" o:ole="">
            <v:imagedata r:id="rId36" o:title=""/>
          </v:shape>
          <o:OLEObject Type="Embed" ProgID="Equation.3" ShapeID="_x0000_i1041" DrawAspect="Content" ObjectID="_1522865981" r:id="rId44"/>
        </w:object>
      </w:r>
      <w:r w:rsidRPr="0093427A">
        <w:t xml:space="preserve"> 0;</w:t>
      </w:r>
      <w:r w:rsidRPr="006F6CE9">
        <w:rPr>
          <w:position w:val="-10"/>
        </w:rPr>
        <w:object w:dxaOrig="300" w:dyaOrig="340" w14:anchorId="24D03C6D">
          <v:shape id="_x0000_i1042" type="#_x0000_t75" style="width:12.25pt;height:13.6pt" o:ole="">
            <v:imagedata r:id="rId45" o:title=""/>
          </v:shape>
          <o:OLEObject Type="Embed" ProgID="Equation.3" ShapeID="_x0000_i1042" DrawAspect="Content" ObjectID="_1522865982" r:id="rId46"/>
        </w:object>
      </w:r>
      <w:r w:rsidRPr="0093427A">
        <w:rPr>
          <w:i/>
          <w:iCs/>
        </w:rPr>
        <w:t>=</w:t>
      </w:r>
      <w:r w:rsidRPr="0093427A">
        <w:t xml:space="preserve"> - </w:t>
      </w:r>
      <w:r w:rsidRPr="006F6CE9">
        <w:rPr>
          <w:i/>
          <w:iCs/>
          <w:lang w:val="el-GR"/>
        </w:rPr>
        <w:t>ρωη</w:t>
      </w:r>
      <w:r w:rsidRPr="0093427A">
        <w:t>/[(</w:t>
      </w:r>
      <w:r w:rsidRPr="006F6CE9">
        <w:rPr>
          <w:i/>
          <w:iCs/>
        </w:rPr>
        <w:t>R</w:t>
      </w:r>
      <w:r w:rsidRPr="0093427A">
        <w:t xml:space="preserve"> </w:t>
      </w:r>
      <w:r w:rsidRPr="0093427A">
        <w:rPr>
          <w:i/>
          <w:iCs/>
        </w:rPr>
        <w:t>–</w:t>
      </w:r>
      <w:r w:rsidRPr="0093427A">
        <w:t xml:space="preserve"> </w:t>
      </w:r>
      <w:r w:rsidRPr="006F6CE9">
        <w:rPr>
          <w:i/>
          <w:iCs/>
          <w:lang w:val="el-GR"/>
        </w:rPr>
        <w:t>ω</w:t>
      </w:r>
      <w:r w:rsidRPr="0093427A">
        <w:t>)(</w:t>
      </w:r>
      <w:r w:rsidRPr="006F6CE9">
        <w:rPr>
          <w:i/>
          <w:iCs/>
        </w:rPr>
        <w:t>R</w:t>
      </w:r>
      <w:r w:rsidRPr="0093427A">
        <w:t xml:space="preserve"> </w:t>
      </w:r>
      <w:r w:rsidRPr="0093427A">
        <w:rPr>
          <w:i/>
          <w:iCs/>
        </w:rPr>
        <w:t>–</w:t>
      </w:r>
      <w:r w:rsidRPr="0093427A">
        <w:t xml:space="preserve"> </w:t>
      </w:r>
      <w:r w:rsidRPr="006F6CE9">
        <w:rPr>
          <w:i/>
          <w:iCs/>
          <w:lang w:val="el-GR"/>
        </w:rPr>
        <w:t>η</w:t>
      </w:r>
      <w:r w:rsidRPr="0093427A">
        <w:t xml:space="preserve">)] </w:t>
      </w:r>
      <w:r w:rsidRPr="006F6CE9">
        <w:rPr>
          <w:position w:val="-4"/>
          <w:lang w:val="el-GR"/>
        </w:rPr>
        <w:object w:dxaOrig="200" w:dyaOrig="240" w14:anchorId="63AADAD7">
          <v:shape id="_x0000_i1043" type="#_x0000_t75" style="width:10.2pt;height:12.25pt" o:ole="">
            <v:imagedata r:id="rId47" o:title=""/>
          </v:shape>
          <o:OLEObject Type="Embed" ProgID="Equation.3" ShapeID="_x0000_i1043" DrawAspect="Content" ObjectID="_1522865983" r:id="rId48"/>
        </w:object>
      </w:r>
      <w:r w:rsidRPr="0093427A">
        <w:t>0;</w:t>
      </w:r>
      <w:r w:rsidRPr="006F6CE9">
        <w:t xml:space="preserve"> </w:t>
      </w:r>
      <w:r w:rsidRPr="006F6CE9">
        <w:rPr>
          <w:position w:val="-12"/>
        </w:rPr>
        <w:object w:dxaOrig="279" w:dyaOrig="360" w14:anchorId="2C9A619E">
          <v:shape id="_x0000_i1044" type="#_x0000_t75" style="width:12.25pt;height:16.3pt" o:ole="">
            <v:imagedata r:id="rId49" o:title=""/>
          </v:shape>
          <o:OLEObject Type="Embed" ProgID="Equation.3" ShapeID="_x0000_i1044" DrawAspect="Content" ObjectID="_1522865984" r:id="rId50"/>
        </w:object>
      </w:r>
      <w:r w:rsidRPr="006F6CE9">
        <w:t xml:space="preserve"> </w:t>
      </w:r>
      <w:r w:rsidRPr="0093427A">
        <w:rPr>
          <w:i/>
          <w:iCs/>
        </w:rPr>
        <w:t>=</w:t>
      </w:r>
      <w:r w:rsidRPr="0093427A">
        <w:t xml:space="preserve"> </w:t>
      </w:r>
      <w:r w:rsidRPr="006F6CE9">
        <w:rPr>
          <w:i/>
          <w:iCs/>
        </w:rPr>
        <w:t>R</w:t>
      </w:r>
      <w:r w:rsidRPr="006F6CE9">
        <w:rPr>
          <w:i/>
          <w:iCs/>
          <w:lang w:val="el-GR"/>
        </w:rPr>
        <w:t>ρ</w:t>
      </w:r>
      <w:r w:rsidRPr="0093427A">
        <w:t>/[(</w:t>
      </w:r>
      <w:r w:rsidRPr="006F6CE9">
        <w:rPr>
          <w:i/>
          <w:iCs/>
        </w:rPr>
        <w:t>R</w:t>
      </w:r>
      <w:r w:rsidRPr="0093427A">
        <w:t xml:space="preserve"> </w:t>
      </w:r>
      <w:r w:rsidRPr="0093427A">
        <w:rPr>
          <w:i/>
          <w:iCs/>
        </w:rPr>
        <w:t>–</w:t>
      </w:r>
      <w:r w:rsidRPr="0093427A">
        <w:t xml:space="preserve"> </w:t>
      </w:r>
      <w:r w:rsidRPr="006F6CE9">
        <w:rPr>
          <w:i/>
          <w:iCs/>
          <w:lang w:val="el-GR"/>
        </w:rPr>
        <w:t>ω</w:t>
      </w:r>
      <w:r w:rsidRPr="0093427A">
        <w:t>)(</w:t>
      </w:r>
      <w:r w:rsidRPr="006F6CE9">
        <w:rPr>
          <w:i/>
          <w:iCs/>
        </w:rPr>
        <w:t>R</w:t>
      </w:r>
      <w:r w:rsidRPr="0093427A">
        <w:t xml:space="preserve"> </w:t>
      </w:r>
      <w:r w:rsidRPr="0093427A">
        <w:rPr>
          <w:i/>
          <w:iCs/>
        </w:rPr>
        <w:t>–</w:t>
      </w:r>
      <w:r w:rsidRPr="0093427A">
        <w:t xml:space="preserve"> </w:t>
      </w:r>
      <w:r w:rsidRPr="006F6CE9">
        <w:rPr>
          <w:i/>
          <w:iCs/>
          <w:lang w:val="el-GR"/>
        </w:rPr>
        <w:t>η</w:t>
      </w:r>
      <w:r w:rsidRPr="0093427A">
        <w:t xml:space="preserve">)] &gt; 0; </w:t>
      </w:r>
      <w:r w:rsidRPr="006F6CE9">
        <w:t>and</w:t>
      </w:r>
      <w:r w:rsidRPr="006F6CE9">
        <w:rPr>
          <w:position w:val="-12"/>
        </w:rPr>
        <w:object w:dxaOrig="1200" w:dyaOrig="360" w14:anchorId="399FB960">
          <v:shape id="_x0000_i1045" type="#_x0000_t75" style="width:48.25pt;height:14.25pt" o:ole="">
            <v:imagedata r:id="rId51" o:title=""/>
          </v:shape>
          <o:OLEObject Type="Embed" ProgID="Equation.3" ShapeID="_x0000_i1045" DrawAspect="Content" ObjectID="_1522865985" r:id="rId52"/>
        </w:object>
      </w:r>
      <w:r w:rsidRPr="006F6CE9">
        <w:t>= 1 due to the dividend irrelevancy property.</w:t>
      </w:r>
    </w:p>
    <w:p w14:paraId="0F547E46" w14:textId="77777777" w:rsidR="00CD420F" w:rsidRPr="006F6CE9" w:rsidRDefault="00CD420F" w:rsidP="00237653">
      <w:r w:rsidRPr="006F6CE9">
        <w:t xml:space="preserve">The coefficients for expected </w:t>
      </w:r>
      <w:r w:rsidRPr="006F6CE9">
        <w:rPr>
          <w:i/>
          <w:iCs/>
        </w:rPr>
        <w:t>RI</w:t>
      </w:r>
      <w:r w:rsidRPr="006F6CE9">
        <w:rPr>
          <w:i/>
          <w:iCs/>
          <w:vertAlign w:val="subscript"/>
        </w:rPr>
        <w:t>t</w:t>
      </w:r>
      <w:r w:rsidRPr="006F6CE9">
        <w:rPr>
          <w:vertAlign w:val="subscript"/>
        </w:rPr>
        <w:t>+1</w:t>
      </w:r>
      <w:r w:rsidRPr="006F6CE9">
        <w:t xml:space="preserve"> and </w:t>
      </w:r>
      <w:proofErr w:type="gramStart"/>
      <w:r w:rsidRPr="006F6CE9">
        <w:rPr>
          <w:i/>
          <w:iCs/>
        </w:rPr>
        <w:t>E</w:t>
      </w:r>
      <w:r w:rsidRPr="006F6CE9">
        <w:rPr>
          <w:i/>
          <w:iCs/>
          <w:vertAlign w:val="subscript"/>
        </w:rPr>
        <w:t>t</w:t>
      </w:r>
      <w:r w:rsidRPr="006F6CE9">
        <w:rPr>
          <w:vertAlign w:val="subscript"/>
        </w:rPr>
        <w:t>+</w:t>
      </w:r>
      <w:proofErr w:type="gramEnd"/>
      <w:r w:rsidRPr="006F6CE9">
        <w:rPr>
          <w:vertAlign w:val="subscript"/>
        </w:rPr>
        <w:t>1</w:t>
      </w:r>
      <w:r w:rsidRPr="006F6CE9">
        <w:t xml:space="preserve"> are always positive. In contrast, the coefficients for </w:t>
      </w:r>
      <w:proofErr w:type="spellStart"/>
      <w:r w:rsidRPr="006F6CE9">
        <w:rPr>
          <w:i/>
          <w:iCs/>
        </w:rPr>
        <w:t>RI</w:t>
      </w:r>
      <w:r w:rsidRPr="006F6CE9">
        <w:rPr>
          <w:i/>
          <w:iCs/>
          <w:vertAlign w:val="subscript"/>
        </w:rPr>
        <w:t>t</w:t>
      </w:r>
      <w:proofErr w:type="spellEnd"/>
      <w:r w:rsidRPr="006F6CE9">
        <w:t xml:space="preserve"> and </w:t>
      </w:r>
      <w:r w:rsidRPr="006F6CE9">
        <w:rPr>
          <w:i/>
          <w:iCs/>
        </w:rPr>
        <w:t>E</w:t>
      </w:r>
      <w:r w:rsidRPr="006F6CE9">
        <w:rPr>
          <w:i/>
          <w:iCs/>
          <w:vertAlign w:val="subscript"/>
        </w:rPr>
        <w:t>t</w:t>
      </w:r>
      <w:r w:rsidRPr="006F6CE9">
        <w:rPr>
          <w:i/>
          <w:iCs/>
        </w:rPr>
        <w:t xml:space="preserve"> </w:t>
      </w:r>
      <w:r w:rsidRPr="006F6CE9">
        <w:t xml:space="preserve">are plausibly non-positive (when </w:t>
      </w:r>
      <w:r w:rsidRPr="006F6CE9">
        <w:rPr>
          <w:i/>
          <w:iCs/>
        </w:rPr>
        <w:t>ω</w:t>
      </w:r>
      <w:r w:rsidRPr="006F6CE9">
        <w:t xml:space="preserve">, </w:t>
      </w:r>
      <w:r w:rsidRPr="006F6CE9">
        <w:rPr>
          <w:i/>
          <w:iCs/>
        </w:rPr>
        <w:t>η</w:t>
      </w:r>
      <w:r w:rsidRPr="006F6CE9">
        <w:t xml:space="preserve"> ≥ 0), suggesting that, given current book value, the expected next-period earnings and residual income, the magnitude of current income or residual income negatively relates to the implied growth in earnings.</w:t>
      </w:r>
    </w:p>
    <w:p w14:paraId="377CF5DB" w14:textId="77777777" w:rsidR="00CD420F" w:rsidRPr="006F6CE9" w:rsidRDefault="00CD420F" w:rsidP="00237653">
      <w:r w:rsidRPr="006F6CE9">
        <w:t>In all cases, structuring the evolution of value-relevant variables is critically dependent on the empirical power of the assumptions. The assumptions may lead to the simplification of valuation models, but it may also help to develop theories of the valuation concerns. In the future, what is a striking task is testing the practicality of these assumptions and derived theories empirically.</w:t>
      </w:r>
    </w:p>
    <w:p w14:paraId="4FF0B5C3" w14:textId="77777777" w:rsidR="00CD420F" w:rsidRPr="006F6CE9" w:rsidRDefault="00CD420F" w:rsidP="002D15B7">
      <w:pPr>
        <w:pStyle w:val="Heading2"/>
      </w:pPr>
      <w:bookmarkStart w:id="6" w:name="_Toc251749324"/>
      <w:r w:rsidRPr="006F6CE9">
        <w:t>Formulating terminal values of value-relevant sequences</w:t>
      </w:r>
      <w:bookmarkEnd w:id="6"/>
    </w:p>
    <w:p w14:paraId="6079E68F" w14:textId="77777777" w:rsidR="00CD420F" w:rsidRPr="006F6CE9" w:rsidRDefault="00CD420F" w:rsidP="00237653">
      <w:r w:rsidRPr="006F6CE9">
        <w:t xml:space="preserve">In focusing on estimating a firm’s value, an approach that appears more practical is formulating terminal value for a particular valuation model. In other words, the </w:t>
      </w:r>
      <w:r w:rsidRPr="006F6CE9">
        <w:lastRenderedPageBreak/>
        <w:t>evolution of an expected value-relevant variable is now embodied in the terminal value of the expected stream of the variable. A terminal value of a model represents part of the model capturing the future expected value-relevant stream/sequence beyond the horizon over which the flows of the variable are forecasted. Following this approach, a model is transformed to a version containing two parts: a forecasted part to a horizon and a terminal value. There are alternative approaches that have appeared in the literature. For example, the terminal value of the RIM model in Frankel and Lee (</w:t>
      </w:r>
      <w:r>
        <w:fldChar w:fldCharType="begin"/>
      </w:r>
      <w:r>
        <w:instrText xml:space="preserve"> REF _Ref447644579 \n \h </w:instrText>
      </w:r>
      <w:r>
        <w:fldChar w:fldCharType="separate"/>
      </w:r>
      <w:r>
        <w:t>[6]</w:t>
      </w:r>
      <w:r>
        <w:fldChar w:fldCharType="end"/>
      </w:r>
      <w:r w:rsidRPr="006F6CE9">
        <w:t xml:space="preserve">) and </w:t>
      </w:r>
      <w:proofErr w:type="spellStart"/>
      <w:r w:rsidRPr="006F6CE9">
        <w:t>Gebhardt</w:t>
      </w:r>
      <w:proofErr w:type="spellEnd"/>
      <w:r w:rsidRPr="006F6CE9">
        <w:t xml:space="preserve">, Lee and </w:t>
      </w:r>
      <w:proofErr w:type="spellStart"/>
      <w:r w:rsidRPr="006F6CE9">
        <w:t>Swaminathan</w:t>
      </w:r>
      <w:proofErr w:type="spellEnd"/>
      <w:r w:rsidRPr="006F6CE9">
        <w:t xml:space="preserve"> (</w:t>
      </w:r>
      <w:r>
        <w:fldChar w:fldCharType="begin"/>
      </w:r>
      <w:r>
        <w:instrText xml:space="preserve"> REF _Ref447644988 \n \h </w:instrText>
      </w:r>
      <w:r>
        <w:fldChar w:fldCharType="separate"/>
      </w:r>
      <w:r>
        <w:t>[7]</w:t>
      </w:r>
      <w:r>
        <w:fldChar w:fldCharType="end"/>
      </w:r>
      <w:r w:rsidRPr="006F6CE9">
        <w:t xml:space="preserve">) is calculated as the present value of expected residual income at the horizon as </w:t>
      </w:r>
      <w:proofErr w:type="gramStart"/>
      <w:r w:rsidRPr="006F6CE9">
        <w:t>a perpetuity</w:t>
      </w:r>
      <w:proofErr w:type="gramEnd"/>
      <w:r w:rsidRPr="006F6CE9">
        <w:t>. The assumption is that this model allows for mean reversion in ROE and any incremental economic profits (from new investments) after the horizon are zero. Lee et al. (</w:t>
      </w:r>
      <w:r>
        <w:fldChar w:fldCharType="begin"/>
      </w:r>
      <w:r>
        <w:instrText xml:space="preserve"> REF _Ref447644294 \n \h </w:instrText>
      </w:r>
      <w:r>
        <w:fldChar w:fldCharType="separate"/>
      </w:r>
      <w:r>
        <w:t>[10]</w:t>
      </w:r>
      <w:r>
        <w:fldChar w:fldCharType="end"/>
      </w:r>
      <w:r w:rsidRPr="006F6CE9">
        <w:t xml:space="preserve">) and </w:t>
      </w:r>
      <w:proofErr w:type="spellStart"/>
      <w:r w:rsidRPr="006F6CE9">
        <w:t>Dechow</w:t>
      </w:r>
      <w:proofErr w:type="spellEnd"/>
      <w:r w:rsidRPr="006F6CE9">
        <w:t xml:space="preserve"> et al. (</w:t>
      </w:r>
      <w:r>
        <w:fldChar w:fldCharType="begin"/>
      </w:r>
      <w:r>
        <w:instrText xml:space="preserve"> REF _Ref447645068 \n \h </w:instrText>
      </w:r>
      <w:r>
        <w:fldChar w:fldCharType="separate"/>
      </w:r>
      <w:r>
        <w:t>[2]</w:t>
      </w:r>
      <w:r>
        <w:fldChar w:fldCharType="end"/>
      </w:r>
      <w:r w:rsidRPr="006F6CE9">
        <w:t>) as stated in Frankel and Lee (</w:t>
      </w:r>
      <w:r>
        <w:fldChar w:fldCharType="begin"/>
      </w:r>
      <w:r>
        <w:instrText xml:space="preserve"> REF _Ref447644579 \n \h </w:instrText>
      </w:r>
      <w:r>
        <w:fldChar w:fldCharType="separate"/>
      </w:r>
      <w:r>
        <w:t>[6]</w:t>
      </w:r>
      <w:r>
        <w:fldChar w:fldCharType="end"/>
      </w:r>
      <w:r w:rsidRPr="006F6CE9">
        <w:t>) also provide various forms of terminal values. It is apparently that any simple approaches to formulating terminal values must adopt restrictive assumptions about the evolution of valuation attributes. Distinctly, Penman (</w:t>
      </w:r>
      <w:r>
        <w:fldChar w:fldCharType="begin"/>
      </w:r>
      <w:r>
        <w:instrText xml:space="preserve"> REF _Ref447645115 \n \h </w:instrText>
      </w:r>
      <w:r>
        <w:fldChar w:fldCharType="separate"/>
      </w:r>
      <w:r>
        <w:t>[15]</w:t>
      </w:r>
      <w:r>
        <w:fldChar w:fldCharType="end"/>
      </w:r>
      <w:r w:rsidRPr="006F6CE9">
        <w:t>) provides a thorough analysis of formulating a terminal value.</w:t>
      </w:r>
    </w:p>
    <w:p w14:paraId="45774119" w14:textId="183C8BD6" w:rsidR="00CD420F" w:rsidRDefault="0079412B" w:rsidP="00237653">
      <w:r w:rsidRPr="0079412B">
        <w:rPr>
          <w:highlight w:val="yellow"/>
        </w:rPr>
        <w:t>T</w:t>
      </w:r>
      <w:r w:rsidR="00CD420F" w:rsidRPr="0079412B">
        <w:rPr>
          <w:highlight w:val="yellow"/>
        </w:rPr>
        <w:t xml:space="preserve">he transformation of other models for a finite </w:t>
      </w:r>
      <w:r w:rsidR="00CD420F" w:rsidRPr="0079412B">
        <w:rPr>
          <w:i/>
          <w:iCs/>
          <w:highlight w:val="yellow"/>
        </w:rPr>
        <w:t xml:space="preserve">t </w:t>
      </w:r>
      <w:r w:rsidR="00CD420F" w:rsidRPr="0079412B">
        <w:rPr>
          <w:highlight w:val="yellow"/>
        </w:rPr>
        <w:t xml:space="preserve">+ </w:t>
      </w:r>
      <w:r w:rsidR="00CD420F" w:rsidRPr="0079412B">
        <w:rPr>
          <w:i/>
          <w:iCs/>
          <w:highlight w:val="yellow"/>
        </w:rPr>
        <w:t>T</w:t>
      </w:r>
      <w:r w:rsidR="00CD420F" w:rsidRPr="0079412B">
        <w:rPr>
          <w:highlight w:val="yellow"/>
        </w:rPr>
        <w:t xml:space="preserve"> </w:t>
      </w:r>
      <w:r>
        <w:rPr>
          <w:highlight w:val="yellow"/>
        </w:rPr>
        <w:t xml:space="preserve">from (ii) </w:t>
      </w:r>
      <w:r w:rsidR="00CD420F" w:rsidRPr="0079412B">
        <w:rPr>
          <w:highlight w:val="yellow"/>
        </w:rPr>
        <w:t>generally resembles the following:</w:t>
      </w:r>
    </w:p>
    <w:p w14:paraId="0B0922BE" w14:textId="4DC4B0FD" w:rsidR="00CD420F" w:rsidRPr="006F6CE9" w:rsidRDefault="00345A4B" w:rsidP="00345A4B">
      <w:pPr>
        <w:ind w:right="849"/>
        <w:jc w:val="left"/>
      </w:pPr>
      <w:r w:rsidRPr="00EC05CA">
        <w:rPr>
          <w:position w:val="-28"/>
        </w:rPr>
        <w:object w:dxaOrig="5520" w:dyaOrig="680" w14:anchorId="3612E7BB">
          <v:shape id="_x0000_i1048" type="#_x0000_t75" style="width:215.3pt;height:26.5pt" o:ole="">
            <v:imagedata r:id="rId53" o:title=""/>
          </v:shape>
          <o:OLEObject Type="Embed" ProgID="Equation.3" ShapeID="_x0000_i1048" DrawAspect="Content" ObjectID="_1522865986" r:id="rId54"/>
        </w:object>
      </w:r>
      <w:r w:rsidR="00CD420F" w:rsidRPr="006F6CE9">
        <w:tab/>
      </w:r>
      <w:r w:rsidR="00CD420F" w:rsidRPr="006F6CE9">
        <w:rPr>
          <w:position w:val="-48"/>
        </w:rPr>
        <w:object w:dxaOrig="4099" w:dyaOrig="1080" w14:anchorId="2CC7AFA0">
          <v:shape id="_x0000_i1046" type="#_x0000_t75" style="width:159.6pt;height:42.8pt" o:ole="">
            <v:imagedata r:id="rId55" o:title=""/>
          </v:shape>
          <o:OLEObject Type="Embed" ProgID="Equation.3" ShapeID="_x0000_i1046" DrawAspect="Content" ObjectID="_1522865987" r:id="rId56"/>
        </w:object>
      </w:r>
    </w:p>
    <w:p w14:paraId="78869183" w14:textId="77777777" w:rsidR="00CD420F" w:rsidRPr="006F6CE9" w:rsidRDefault="00CD420F" w:rsidP="009550A8">
      <w:proofErr w:type="gramStart"/>
      <w:r w:rsidRPr="006F6CE9">
        <w:t>where</w:t>
      </w:r>
      <w:proofErr w:type="gramEnd"/>
      <w:r w:rsidRPr="006F6CE9">
        <w:t xml:space="preserve">: </w:t>
      </w:r>
      <w:proofErr w:type="spellStart"/>
      <w:r w:rsidRPr="006F6CE9">
        <w:rPr>
          <w:i/>
          <w:iCs/>
        </w:rPr>
        <w:t>B</w:t>
      </w:r>
      <w:r w:rsidRPr="006F6CE9">
        <w:rPr>
          <w:i/>
          <w:iCs/>
          <w:vertAlign w:val="subscript"/>
        </w:rPr>
        <w:t>t</w:t>
      </w:r>
      <w:proofErr w:type="spellEnd"/>
      <w:r w:rsidRPr="006F6CE9">
        <w:t xml:space="preserve"> is a measured stock of value at time </w:t>
      </w:r>
      <w:r w:rsidRPr="006F6CE9">
        <w:rPr>
          <w:i/>
          <w:iCs/>
        </w:rPr>
        <w:t>t</w:t>
      </w:r>
      <w:r w:rsidRPr="006F6CE9">
        <w:t xml:space="preserve">; </w:t>
      </w:r>
      <w:proofErr w:type="spellStart"/>
      <w:r w:rsidRPr="006F6CE9">
        <w:rPr>
          <w:i/>
          <w:iCs/>
        </w:rPr>
        <w:t>X</w:t>
      </w:r>
      <w:r w:rsidRPr="006F6CE9">
        <w:rPr>
          <w:i/>
          <w:iCs/>
          <w:vertAlign w:val="subscript"/>
        </w:rPr>
        <w:t>t</w:t>
      </w:r>
      <w:r w:rsidRPr="006F6CE9">
        <w:rPr>
          <w:vertAlign w:val="subscript"/>
        </w:rPr>
        <w:t>+τ</w:t>
      </w:r>
      <w:proofErr w:type="spellEnd"/>
      <w:r w:rsidRPr="006F6CE9">
        <w:t xml:space="preserve"> is a measured flow of value from </w:t>
      </w:r>
      <w:r w:rsidRPr="006F6CE9">
        <w:rPr>
          <w:i/>
          <w:iCs/>
        </w:rPr>
        <w:t>t</w:t>
      </w:r>
      <w:r w:rsidRPr="006F6CE9">
        <w:t xml:space="preserve"> + 1 to </w:t>
      </w:r>
      <w:r w:rsidRPr="006F6CE9">
        <w:rPr>
          <w:i/>
          <w:iCs/>
        </w:rPr>
        <w:t>t</w:t>
      </w:r>
      <w:r w:rsidRPr="006F6CE9">
        <w:t xml:space="preserve"> + </w:t>
      </w:r>
      <w:r w:rsidRPr="006F6CE9">
        <w:rPr>
          <w:i/>
          <w:iCs/>
        </w:rPr>
        <w:t>T</w:t>
      </w:r>
      <w:r w:rsidRPr="006F6CE9">
        <w:t>;</w:t>
      </w:r>
    </w:p>
    <w:p w14:paraId="5D893B29" w14:textId="77777777" w:rsidR="00CD420F" w:rsidRPr="006F6CE9" w:rsidRDefault="00CD420F" w:rsidP="002D15B7">
      <w:pPr>
        <w:tabs>
          <w:tab w:val="left" w:pos="720"/>
          <w:tab w:val="left" w:pos="1109"/>
          <w:tab w:val="left" w:pos="7920"/>
        </w:tabs>
        <w:spacing w:after="0"/>
      </w:pPr>
      <w:r w:rsidRPr="006F6CE9">
        <w:rPr>
          <w:position w:val="-16"/>
        </w:rPr>
        <w:object w:dxaOrig="2640" w:dyaOrig="460" w14:anchorId="03A94B65">
          <v:shape id="_x0000_i1047" type="#_x0000_t75" style="width:109.35pt;height:18.35pt" o:ole="">
            <v:imagedata r:id="rId57" o:title=""/>
          </v:shape>
          <o:OLEObject Type="Embed" ProgID="Equation.3" ShapeID="_x0000_i1047" DrawAspect="Content" ObjectID="_1522865988" r:id="rId58"/>
        </w:object>
      </w:r>
      <w:r w:rsidRPr="006F6CE9">
        <w:t xml:space="preserve"> </w:t>
      </w:r>
      <w:proofErr w:type="gramStart"/>
      <w:r w:rsidRPr="006F6CE9">
        <w:t>is</w:t>
      </w:r>
      <w:proofErr w:type="gramEnd"/>
      <w:r w:rsidRPr="006F6CE9">
        <w:t xml:space="preserve"> the forecasted part of the model; and </w:t>
      </w:r>
      <w:proofErr w:type="spellStart"/>
      <w:r w:rsidRPr="006F6CE9">
        <w:rPr>
          <w:i/>
          <w:iCs/>
        </w:rPr>
        <w:t>TV</w:t>
      </w:r>
      <w:r w:rsidRPr="006F6CE9">
        <w:rPr>
          <w:i/>
          <w:iCs/>
          <w:vertAlign w:val="subscript"/>
        </w:rPr>
        <w:t>t</w:t>
      </w:r>
      <w:r w:rsidRPr="006F6CE9">
        <w:rPr>
          <w:vertAlign w:val="subscript"/>
        </w:rPr>
        <w:t>+T</w:t>
      </w:r>
      <w:proofErr w:type="spellEnd"/>
      <w:r w:rsidRPr="006F6CE9">
        <w:t xml:space="preserve"> is the terminal value of the value-relevant sequence.</w:t>
      </w:r>
    </w:p>
    <w:p w14:paraId="74AF7560" w14:textId="77777777" w:rsidR="00CD420F" w:rsidRPr="006F6CE9" w:rsidRDefault="00CD420F" w:rsidP="009550A8">
      <w:r w:rsidRPr="006F6CE9">
        <w:t>The forecasted part is not an issue here simply because the flows to a horizon are already forecasted by some certain ways, for example, analyst forecasts or extrapolation. What a formulation of a terminal value must resolve is the errors arising from that formulation. Penman (</w:t>
      </w:r>
      <w:r>
        <w:fldChar w:fldCharType="begin"/>
      </w:r>
      <w:r>
        <w:instrText xml:space="preserve"> REF _Ref447645115 \n \h </w:instrText>
      </w:r>
      <w:r>
        <w:fldChar w:fldCharType="separate"/>
      </w:r>
      <w:r>
        <w:t>[15]</w:t>
      </w:r>
      <w:r>
        <w:fldChar w:fldCharType="end"/>
      </w:r>
      <w:r w:rsidRPr="006F6CE9">
        <w:t xml:space="preserve">) reveals two kinds of errors. The first one arises because accounting measurement error is recognized in the value attributes over the period </w:t>
      </w:r>
      <w:proofErr w:type="spellStart"/>
      <w:r w:rsidRPr="006F6CE9">
        <w:rPr>
          <w:i/>
          <w:iCs/>
        </w:rPr>
        <w:t>t</w:t>
      </w:r>
      <w:r w:rsidRPr="006F6CE9">
        <w:t>+</w:t>
      </w:r>
      <w:r w:rsidRPr="006F6CE9">
        <w:rPr>
          <w:i/>
          <w:iCs/>
        </w:rPr>
        <w:t>T</w:t>
      </w:r>
      <w:proofErr w:type="spellEnd"/>
      <w:r w:rsidRPr="006F6CE9">
        <w:t xml:space="preserve">. It is transitory and absorbed into expected book value by </w:t>
      </w:r>
      <w:proofErr w:type="spellStart"/>
      <w:r w:rsidRPr="006F6CE9">
        <w:rPr>
          <w:i/>
          <w:iCs/>
        </w:rPr>
        <w:t>t</w:t>
      </w:r>
      <w:r w:rsidRPr="006F6CE9">
        <w:t>+</w:t>
      </w:r>
      <w:r w:rsidRPr="006F6CE9">
        <w:rPr>
          <w:i/>
          <w:iCs/>
        </w:rPr>
        <w:t>T</w:t>
      </w:r>
      <w:proofErr w:type="spellEnd"/>
      <w:r w:rsidRPr="006F6CE9">
        <w:t>. The second represents a persistent property of the accounting principles and a permanent displacement between book value and pr</w:t>
      </w:r>
      <w:r>
        <w:t>ice.</w:t>
      </w:r>
    </w:p>
    <w:p w14:paraId="0A36C9C8" w14:textId="77777777" w:rsidR="00CD420F" w:rsidRPr="006F6CE9" w:rsidRDefault="00CD420F" w:rsidP="009550A8">
      <w:r w:rsidRPr="006F6CE9">
        <w:t>Following Penman (</w:t>
      </w:r>
      <w:r>
        <w:fldChar w:fldCharType="begin"/>
      </w:r>
      <w:r>
        <w:instrText xml:space="preserve"> REF _Ref447645115 \n \h </w:instrText>
      </w:r>
      <w:r>
        <w:fldChar w:fldCharType="separate"/>
      </w:r>
      <w:r>
        <w:t>[15]</w:t>
      </w:r>
      <w:r>
        <w:fldChar w:fldCharType="end"/>
      </w:r>
      <w:r w:rsidRPr="006F6CE9">
        <w:t xml:space="preserve">), to formulate a terminal value for a finite horizon valuation model, it is necessary to specify three forecast periods. The first period up to the horizon is set up for forecasting accounting stocks and flows for the forecasted part. It is always possible to determine an accumulated stock at the horizon representing the stocks and flows of the forecasted part. The second stage considers forecasts past the horizon to combine with the accumulated stock to calculate the </w:t>
      </w:r>
      <w:r w:rsidRPr="006F6CE9">
        <w:lastRenderedPageBreak/>
        <w:t xml:space="preserve">terminal value. Yet the third period is required with forecasts of stocks and flows to determine the weights given to Period 1 accumulated stock and Period 2 flows in the terminal value calculation. The crucial role in determining the weights, and thus the terminal value, rests with a measurement error parameter. This parameter is “the expected change or growth” (p.311) in the premium which is defined as the difference between the expected firm value and book value over the third period. In essence, the parameter reflects accounting principles that affect the expected book value and determine measured earnings relative to stock return. </w:t>
      </w:r>
      <w:proofErr w:type="gramStart"/>
      <w:r w:rsidRPr="006F6CE9">
        <w:t>Thus, “it can also be interpreted as the expected change” in the valuation error (p.311).</w:t>
      </w:r>
      <w:proofErr w:type="gramEnd"/>
      <w:r w:rsidRPr="006F6CE9">
        <w:t xml:space="preserve"> Comparing to </w:t>
      </w:r>
      <w:proofErr w:type="spellStart"/>
      <w:r w:rsidRPr="006F6CE9">
        <w:t>Ohlson</w:t>
      </w:r>
      <w:proofErr w:type="spellEnd"/>
      <w:r w:rsidRPr="006F6CE9">
        <w:t xml:space="preserve"> (</w:t>
      </w:r>
      <w:r>
        <w:fldChar w:fldCharType="begin"/>
      </w:r>
      <w:r>
        <w:instrText xml:space="preserve"> REF _Ref447644446 \n \h </w:instrText>
      </w:r>
      <w:r>
        <w:fldChar w:fldCharType="separate"/>
      </w:r>
      <w:r>
        <w:t>[12]</w:t>
      </w:r>
      <w:r>
        <w:fldChar w:fldCharType="end"/>
      </w:r>
      <w:r w:rsidRPr="006F6CE9">
        <w:t>), Penman (</w:t>
      </w:r>
      <w:r>
        <w:fldChar w:fldCharType="begin"/>
      </w:r>
      <w:r>
        <w:instrText xml:space="preserve"> REF _Ref447645115 \n \h </w:instrText>
      </w:r>
      <w:r>
        <w:fldChar w:fldCharType="separate"/>
      </w:r>
      <w:r>
        <w:t>[15]</w:t>
      </w:r>
      <w:r>
        <w:fldChar w:fldCharType="end"/>
      </w:r>
      <w:r w:rsidRPr="006F6CE9">
        <w:t xml:space="preserve">) indicates that, whereas weights for earnings and book value in </w:t>
      </w:r>
      <w:proofErr w:type="spellStart"/>
      <w:r w:rsidRPr="006F6CE9">
        <w:t>Ohlson</w:t>
      </w:r>
      <w:proofErr w:type="spellEnd"/>
      <w:r w:rsidRPr="006F6CE9">
        <w:t xml:space="preserve"> (</w:t>
      </w:r>
      <w:r>
        <w:fldChar w:fldCharType="begin"/>
      </w:r>
      <w:r>
        <w:instrText xml:space="preserve"> REF _Ref447644446 \n \h </w:instrText>
      </w:r>
      <w:r>
        <w:fldChar w:fldCharType="separate"/>
      </w:r>
      <w:r>
        <w:t>[12]</w:t>
      </w:r>
      <w:r>
        <w:fldChar w:fldCharType="end"/>
      </w:r>
      <w:r w:rsidRPr="006F6CE9">
        <w:t xml:space="preserve">) are applied with parameters assumed to be known at </w:t>
      </w:r>
      <w:r w:rsidRPr="006F6CE9">
        <w:rPr>
          <w:i/>
          <w:iCs/>
        </w:rPr>
        <w:t>t</w:t>
      </w:r>
      <w:r w:rsidRPr="006F6CE9">
        <w:t xml:space="preserve">, and other information is added to determine firm value, the accounting parameter used here is worked out through “pro forma future accounting numbers without other information” (p.320) at </w:t>
      </w:r>
      <w:r w:rsidRPr="006F6CE9">
        <w:rPr>
          <w:i/>
          <w:iCs/>
        </w:rPr>
        <w:t>t</w:t>
      </w:r>
      <w:r w:rsidRPr="006F6CE9">
        <w:t>.</w:t>
      </w:r>
    </w:p>
    <w:p w14:paraId="72E7B254" w14:textId="77777777" w:rsidR="00CD420F" w:rsidRPr="006F6CE9" w:rsidRDefault="00CD420F" w:rsidP="009550A8">
      <w:r w:rsidRPr="006F6CE9">
        <w:t>A final point is that a finite horizon model should also observe the Miller and Modigliani (</w:t>
      </w:r>
      <w:r>
        <w:fldChar w:fldCharType="begin"/>
      </w:r>
      <w:r>
        <w:instrText xml:space="preserve"> REF _Ref447644792 \n \h </w:instrText>
      </w:r>
      <w:r>
        <w:fldChar w:fldCharType="separate"/>
      </w:r>
      <w:r>
        <w:t>[11]</w:t>
      </w:r>
      <w:r>
        <w:fldChar w:fldCharType="end"/>
      </w:r>
      <w:r w:rsidRPr="006F6CE9">
        <w:t>)’s proposition. In particular, a dollar change in the forecasted part due to dividend payout causes the calculated terminal value to be displaced by the same present value amount.</w:t>
      </w:r>
    </w:p>
    <w:p w14:paraId="3DB134F4" w14:textId="77777777" w:rsidR="00CD420F" w:rsidRPr="006F6CE9" w:rsidRDefault="00CD420F" w:rsidP="002D15B7">
      <w:pPr>
        <w:pStyle w:val="Heading2"/>
      </w:pPr>
      <w:bookmarkStart w:id="7" w:name="_Toc251749325"/>
      <w:r w:rsidRPr="006F6CE9">
        <w:t>Risk adjustment</w:t>
      </w:r>
      <w:bookmarkEnd w:id="7"/>
    </w:p>
    <w:p w14:paraId="524958F8" w14:textId="77777777" w:rsidR="00CD420F" w:rsidRPr="006F6CE9" w:rsidRDefault="00CD420F" w:rsidP="009550A8">
      <w:r w:rsidRPr="006F6CE9">
        <w:t>All the valuation models require a risk adjustment in either the expectation or the discount rate (</w:t>
      </w:r>
      <w:r w:rsidRPr="006F6CE9">
        <w:rPr>
          <w:i/>
          <w:iCs/>
        </w:rPr>
        <w:t>ρ</w:t>
      </w:r>
      <w:r w:rsidRPr="006F6CE9">
        <w:t xml:space="preserve">). Since all the models are considered equivalent to each other, it can be said that one needs to find the way to equate the incorporated risk in the applied model to the risk inherent in the anticipated dividend sequence. According to </w:t>
      </w:r>
      <w:proofErr w:type="spellStart"/>
      <w:r w:rsidRPr="006F6CE9">
        <w:t>Ohlson</w:t>
      </w:r>
      <w:proofErr w:type="spellEnd"/>
      <w:r w:rsidRPr="006F6CE9">
        <w:t xml:space="preserve"> (</w:t>
      </w:r>
      <w:r>
        <w:fldChar w:fldCharType="begin"/>
      </w:r>
      <w:r>
        <w:instrText xml:space="preserve"> REF _Ref447644446 \n \h </w:instrText>
      </w:r>
      <w:r>
        <w:fldChar w:fldCharType="separate"/>
      </w:r>
      <w:r>
        <w:t>[12]</w:t>
      </w:r>
      <w:r>
        <w:fldChar w:fldCharType="end"/>
      </w:r>
      <w:r w:rsidRPr="006F6CE9">
        <w:t xml:space="preserve">), a firm’s cost-of-equity should encompass the risk inherent in the valuation attributes. There are three approaches as mentioned in </w:t>
      </w:r>
      <w:bookmarkStart w:id="8" w:name="OLE_LINK2"/>
      <w:proofErr w:type="spellStart"/>
      <w:r w:rsidRPr="006F6CE9">
        <w:t>Ohlson</w:t>
      </w:r>
      <w:proofErr w:type="spellEnd"/>
      <w:r w:rsidRPr="006F6CE9">
        <w:t xml:space="preserve"> (</w:t>
      </w:r>
      <w:r>
        <w:fldChar w:fldCharType="begin"/>
      </w:r>
      <w:r>
        <w:instrText xml:space="preserve"> REF _Ref447644446 \n \h </w:instrText>
      </w:r>
      <w:r>
        <w:fldChar w:fldCharType="separate"/>
      </w:r>
      <w:r>
        <w:t>[12]</w:t>
      </w:r>
      <w:r>
        <w:fldChar w:fldCharType="end"/>
      </w:r>
      <w:r w:rsidRPr="006F6CE9">
        <w:t>)</w:t>
      </w:r>
      <w:bookmarkEnd w:id="8"/>
      <w:r w:rsidRPr="006F6CE9">
        <w:t>.</w:t>
      </w:r>
    </w:p>
    <w:p w14:paraId="62E7043F" w14:textId="77777777" w:rsidR="00CD420F" w:rsidRPr="006F6CE9" w:rsidRDefault="00CD420F" w:rsidP="009550A8">
      <w:r w:rsidRPr="006F6CE9">
        <w:t>First, the cost of capital may be expressed as a sum of a risk-free rate (</w:t>
      </w:r>
      <w:proofErr w:type="spellStart"/>
      <w:proofErr w:type="gramStart"/>
      <w:r w:rsidRPr="006F6CE9">
        <w:rPr>
          <w:i/>
          <w:iCs/>
        </w:rPr>
        <w:t>R</w:t>
      </w:r>
      <w:r w:rsidRPr="006F6CE9">
        <w:rPr>
          <w:i/>
          <w:iCs/>
          <w:vertAlign w:val="subscript"/>
        </w:rPr>
        <w:t>f</w:t>
      </w:r>
      <w:proofErr w:type="spellEnd"/>
      <w:proofErr w:type="gramEnd"/>
      <w:r w:rsidRPr="006F6CE9">
        <w:t>)</w:t>
      </w:r>
      <w:r w:rsidRPr="006F6CE9">
        <w:rPr>
          <w:i/>
          <w:iCs/>
        </w:rPr>
        <w:t xml:space="preserve"> </w:t>
      </w:r>
      <w:r w:rsidRPr="006F6CE9">
        <w:t xml:space="preserve">plus a risk premium. A typical model for estimating the cost of capital is CAPM. CAPM states that a firm’s cost-of-equity equals a risk-free rate plus beta multiplied by a risk premium which is expected return on the market portfolio minus </w:t>
      </w:r>
      <w:r w:rsidRPr="006F6CE9">
        <w:rPr>
          <w:i/>
          <w:iCs/>
        </w:rPr>
        <w:t>R</w:t>
      </w:r>
      <w:r w:rsidRPr="006F6CE9">
        <w:rPr>
          <w:i/>
          <w:iCs/>
          <w:vertAlign w:val="subscript"/>
        </w:rPr>
        <w:t>f</w:t>
      </w:r>
      <w:r w:rsidRPr="006F6CE9">
        <w:t xml:space="preserve">. This approach is simple and convenient for many empirical applications or evaluations of the models and “practical” investment analyses. However, this approach may not stand strongly on theoretical grounds. It cannot explain about the sources of risk incorporated in the discount factor. </w:t>
      </w:r>
      <w:proofErr w:type="spellStart"/>
      <w:r w:rsidRPr="006F6CE9">
        <w:t>Fama</w:t>
      </w:r>
      <w:proofErr w:type="spellEnd"/>
      <w:r w:rsidRPr="006F6CE9">
        <w:t xml:space="preserve"> and French (</w:t>
      </w:r>
      <w:r>
        <w:fldChar w:fldCharType="begin"/>
      </w:r>
      <w:r>
        <w:instrText xml:space="preserve"> REF _Ref447645283 \n \h </w:instrText>
      </w:r>
      <w:r>
        <w:fldChar w:fldCharType="separate"/>
      </w:r>
      <w:r>
        <w:t>[3]</w:t>
      </w:r>
      <w:r>
        <w:fldChar w:fldCharType="end"/>
      </w:r>
      <w:r w:rsidRPr="006F6CE9">
        <w:t xml:space="preserve">) find evidence that market </w:t>
      </w:r>
      <w:r w:rsidRPr="006F6CE9">
        <w:rPr>
          <w:i/>
          <w:iCs/>
        </w:rPr>
        <w:t>Beta</w:t>
      </w:r>
      <w:r w:rsidRPr="006F6CE9">
        <w:t xml:space="preserve"> does not seem to help explain the cross-section of average stock returns, and thus hardly capture the risk which should be subsumed in the cost of capital. This situation poses an issue of how to determine the risk factors relevantly, which is sometimes based on ad hoc trials. </w:t>
      </w:r>
      <w:proofErr w:type="spellStart"/>
      <w:r w:rsidRPr="006F6CE9">
        <w:t>Fama</w:t>
      </w:r>
      <w:proofErr w:type="spellEnd"/>
      <w:r w:rsidRPr="006F6CE9">
        <w:t xml:space="preserve"> and French (</w:t>
      </w:r>
      <w:r>
        <w:fldChar w:fldCharType="begin"/>
      </w:r>
      <w:r>
        <w:instrText xml:space="preserve"> REF _Ref447645283 \n \h </w:instrText>
      </w:r>
      <w:r>
        <w:fldChar w:fldCharType="separate"/>
      </w:r>
      <w:r>
        <w:t>[3]</w:t>
      </w:r>
      <w:r>
        <w:fldChar w:fldCharType="end"/>
      </w:r>
      <w:r w:rsidRPr="006F6CE9">
        <w:t xml:space="preserve">) show that size and especially book-to-market equity should be powerful risk factors. In </w:t>
      </w:r>
      <w:proofErr w:type="spellStart"/>
      <w:r w:rsidRPr="006F6CE9">
        <w:t>Fama</w:t>
      </w:r>
      <w:proofErr w:type="spellEnd"/>
      <w:r w:rsidRPr="006F6CE9">
        <w:t xml:space="preserve"> and French (</w:t>
      </w:r>
      <w:r>
        <w:fldChar w:fldCharType="begin"/>
      </w:r>
      <w:r>
        <w:instrText xml:space="preserve"> REF _Ref447723747 \n \h </w:instrText>
      </w:r>
      <w:r>
        <w:fldChar w:fldCharType="separate"/>
      </w:r>
      <w:r>
        <w:t>[4]</w:t>
      </w:r>
      <w:r>
        <w:fldChar w:fldCharType="end"/>
      </w:r>
      <w:r w:rsidRPr="006F6CE9">
        <w:t xml:space="preserve">), apart from size and book-to-market factors (represented by mimicking excess returns), an excess market return factor (for an established market portfolio of stocks) and two bond-market factors (proxies for </w:t>
      </w:r>
      <w:r w:rsidRPr="006F6CE9">
        <w:lastRenderedPageBreak/>
        <w:t>unexpected changes in interest rates and corporate’ likelihood of default) can capture common variation in stock returns (and also bond returns). Although there is overlap in the effects of the factors which are due to the correlation between the excess market return and the other factors, especially the two term-structure factors, all the factors demonstrate themselves as proxies for risk factors.</w:t>
      </w:r>
    </w:p>
    <w:p w14:paraId="539AE324" w14:textId="53C8D59A" w:rsidR="00CD420F" w:rsidRPr="006F6CE9" w:rsidRDefault="00CD420F" w:rsidP="009550A8">
      <w:r w:rsidRPr="006F6CE9">
        <w:t xml:space="preserve">The second approach summarized by </w:t>
      </w:r>
      <w:proofErr w:type="spellStart"/>
      <w:r w:rsidRPr="006F6CE9">
        <w:t>Ohlson</w:t>
      </w:r>
      <w:proofErr w:type="spellEnd"/>
      <w:r w:rsidRPr="006F6CE9">
        <w:t xml:space="preserve"> (</w:t>
      </w:r>
      <w:r>
        <w:fldChar w:fldCharType="begin"/>
      </w:r>
      <w:r>
        <w:instrText xml:space="preserve"> REF _Ref447644446 \n \h </w:instrText>
      </w:r>
      <w:r>
        <w:fldChar w:fldCharType="separate"/>
      </w:r>
      <w:r>
        <w:t>[12]</w:t>
      </w:r>
      <w:r>
        <w:fldChar w:fldCharType="end"/>
      </w:r>
      <w:r w:rsidRPr="006F6CE9">
        <w:t xml:space="preserve">) involves adjusting the value-relevant series for the risk rather than the discounts factor. </w:t>
      </w:r>
      <w:r w:rsidRPr="00345A4B">
        <w:rPr>
          <w:highlight w:val="yellow"/>
        </w:rPr>
        <w:t>Follow</w:t>
      </w:r>
      <w:r w:rsidR="00345A4B" w:rsidRPr="00345A4B">
        <w:rPr>
          <w:highlight w:val="yellow"/>
        </w:rPr>
        <w:t>ing</w:t>
      </w:r>
      <w:r w:rsidRPr="006F6CE9">
        <w:t xml:space="preserve"> modern finance theory (</w:t>
      </w:r>
      <w:r>
        <w:fldChar w:fldCharType="begin"/>
      </w:r>
      <w:r>
        <w:instrText xml:space="preserve"> REF _Ref447644446 \n \h </w:instrText>
      </w:r>
      <w:r>
        <w:fldChar w:fldCharType="separate"/>
      </w:r>
      <w:r>
        <w:t>[12]</w:t>
      </w:r>
      <w:r>
        <w:fldChar w:fldCharType="end"/>
      </w:r>
      <w:r w:rsidRPr="006F6CE9">
        <w:t xml:space="preserve">), this approach relies on generalized measure theory in lieu of the probabilistic structure necessary to define the </w:t>
      </w:r>
      <w:r w:rsidRPr="006F6CE9">
        <w:rPr>
          <w:i/>
          <w:iCs/>
        </w:rPr>
        <w:t>E</w:t>
      </w:r>
      <w:r w:rsidRPr="006F6CE9">
        <w:rPr>
          <w:i/>
          <w:iCs/>
          <w:vertAlign w:val="superscript"/>
        </w:rPr>
        <w:t>*</w:t>
      </w:r>
      <w:r w:rsidRPr="006F6CE9">
        <w:rPr>
          <w:i/>
          <w:iCs/>
          <w:vertAlign w:val="subscript"/>
        </w:rPr>
        <w:t>t</w:t>
      </w:r>
      <w:r w:rsidRPr="006F6CE9">
        <w:t>[.] operator for the value-relevant series in relation to the economy’s underlying implicit price system. The risk-adjusted value-relevant series are then discounted at the risk-free rate (</w:t>
      </w:r>
      <w:r>
        <w:fldChar w:fldCharType="begin"/>
      </w:r>
      <w:r>
        <w:instrText xml:space="preserve"> REF _Ref447645413 \n \h </w:instrText>
      </w:r>
      <w:r>
        <w:fldChar w:fldCharType="separate"/>
      </w:r>
      <w:r>
        <w:t>[1]</w:t>
      </w:r>
      <w:r>
        <w:fldChar w:fldCharType="end"/>
      </w:r>
      <w:r w:rsidRPr="006F6CE9">
        <w:t>).</w:t>
      </w:r>
    </w:p>
    <w:p w14:paraId="7808B863" w14:textId="77777777" w:rsidR="00CD420F" w:rsidRPr="006F6CE9" w:rsidRDefault="00CD420F" w:rsidP="009550A8">
      <w:r w:rsidRPr="006F6CE9">
        <w:t>The third approach involves modeling correlations between disturbance terms in explanatory models for the value-driver variables (e.g. dividends, (abnormal) earnings, non-accounting information) of the valuation functions and the implicit price system. In this approach, the cost of capital is endogenous to reflect the risk in the value-driver variables. The limitation of this approach is that it ignores important concepts such as leverage (</w:t>
      </w:r>
      <w:r>
        <w:fldChar w:fldCharType="begin"/>
      </w:r>
      <w:r>
        <w:instrText xml:space="preserve"> REF _Ref447644446 \n \h </w:instrText>
      </w:r>
      <w:r>
        <w:fldChar w:fldCharType="separate"/>
      </w:r>
      <w:r>
        <w:t>[12]</w:t>
      </w:r>
      <w:r>
        <w:fldChar w:fldCharType="end"/>
      </w:r>
      <w:r w:rsidRPr="006F6CE9">
        <w:t>).</w:t>
      </w:r>
    </w:p>
    <w:p w14:paraId="0196A5C8" w14:textId="5AB76539" w:rsidR="00CD420F" w:rsidRPr="006F6CE9" w:rsidRDefault="00CD420F" w:rsidP="009550A8">
      <w:r w:rsidRPr="006F6CE9">
        <w:t>Despite the fact that it seems to be ad hoc in the accommodation of risk, Penman (</w:t>
      </w:r>
      <w:r>
        <w:fldChar w:fldCharType="begin"/>
      </w:r>
      <w:r>
        <w:instrText xml:space="preserve"> REF _Ref447645115 \n \h </w:instrText>
      </w:r>
      <w:r>
        <w:fldChar w:fldCharType="separate"/>
      </w:r>
      <w:r>
        <w:t>[15]</w:t>
      </w:r>
      <w:r>
        <w:fldChar w:fldCharType="end"/>
      </w:r>
      <w:r w:rsidRPr="006F6CE9">
        <w:t xml:space="preserve">) see that “most practical valuation techniques apply a risk-adjusted discount rate to expectations” as in PVD (p.305). In addition, it is observed that many valuation applications use flat non-stochastic discount rates. The reasoning for using constant discount rates may rest on </w:t>
      </w:r>
      <w:proofErr w:type="spellStart"/>
      <w:r w:rsidRPr="006F6CE9">
        <w:t>Gebhardt</w:t>
      </w:r>
      <w:proofErr w:type="spellEnd"/>
      <w:r w:rsidRPr="006F6CE9">
        <w:t xml:space="preserve"> et al. (</w:t>
      </w:r>
      <w:r>
        <w:fldChar w:fldCharType="begin"/>
      </w:r>
      <w:r>
        <w:instrText xml:space="preserve"> REF _Ref447644988 \n \h </w:instrText>
      </w:r>
      <w:r>
        <w:fldChar w:fldCharType="separate"/>
      </w:r>
      <w:r>
        <w:t>[7]</w:t>
      </w:r>
      <w:r>
        <w:fldChar w:fldCharType="end"/>
      </w:r>
      <w:r w:rsidRPr="006F6CE9">
        <w:t xml:space="preserve">)’s argument that “if the market has consistently ascribed a higher (or lower) discount rate to certain firms or industries, chances are it will continue to do so in the future” (p.170). As a consequence, </w:t>
      </w:r>
      <w:r w:rsidRPr="00345A4B">
        <w:rPr>
          <w:highlight w:val="yellow"/>
        </w:rPr>
        <w:t>even thou</w:t>
      </w:r>
      <w:r w:rsidR="00345A4B" w:rsidRPr="00345A4B">
        <w:rPr>
          <w:highlight w:val="yellow"/>
        </w:rPr>
        <w:t>g</w:t>
      </w:r>
      <w:r w:rsidRPr="00345A4B">
        <w:rPr>
          <w:highlight w:val="yellow"/>
        </w:rPr>
        <w:t>h</w:t>
      </w:r>
      <w:r w:rsidRPr="006F6CE9">
        <w:t xml:space="preserve"> it is possible that the power of the cost-of-capital estimates is affected by some measurement errors, the cost-of-capital estimates can be adjusted to reflect the market’s long-term assessment of a firm’s risk level.</w:t>
      </w:r>
    </w:p>
    <w:p w14:paraId="0B6287DB" w14:textId="77777777" w:rsidR="00CD420F" w:rsidRPr="006F6CE9" w:rsidRDefault="00CD420F" w:rsidP="00BC0042">
      <w:pPr>
        <w:pStyle w:val="Heading2"/>
      </w:pPr>
      <w:r w:rsidRPr="006F6CE9">
        <w:t>Implications</w:t>
      </w:r>
    </w:p>
    <w:p w14:paraId="5E0297C0" w14:textId="77777777" w:rsidR="00CD420F" w:rsidRPr="006F6CE9" w:rsidRDefault="00CD420F" w:rsidP="009550A8">
      <w:r w:rsidRPr="006F6CE9">
        <w:t xml:space="preserve">The overview and generalizations in this paper provide a theoretical base for selecting, modeling and applying valuation approaches in practice. From the analysis, this paper suggests that, in the context of Vietnam, applying the RIM and DCM would be suitable in valuing the Vietnamese listed firms. The DCM is a traditional valuation approach that has long standing in the finance and accounting field. On the other hand, the RIM has increasingly been advocated as a practical alternative in financial statement analysis texts and valuation practice. The DDM is the basis model but hard to apply in the context of unstable payout policies of the Vietnamese firms and the limitation in forecasting the value streams for a finite horizon solution. The OJM is a rather parsimonious valuation model but it does not fully ground in accounting constructs. In particular, different to the RIM and DCM, the OJM is not based on a clean surplus relation. Thus, an articulation among accounting </w:t>
      </w:r>
      <w:r w:rsidRPr="006F6CE9">
        <w:lastRenderedPageBreak/>
        <w:t>constructs and firm value is not clear as the RIM and the DCM can do. It can help to express the relationship between firm value and earnings but by excluding book value in the valuation the model omits the valuation role of book value and makes the model more speculative. In fact, the speculative characteristic of the OJM is that the valuation is based on forecasting the future earnings. Furthermore, the OJM requires forecasting earnings per share (</w:t>
      </w:r>
      <w:r w:rsidRPr="006F6CE9">
        <w:rPr>
          <w:i/>
          <w:iCs/>
        </w:rPr>
        <w:t>eps</w:t>
      </w:r>
      <w:r w:rsidRPr="006F6CE9">
        <w:t>) and thus, forecasting shares outstanding is also necessary. This also adds more uncertainty to the valuation compared to the RIM and DCM. On the basis of the practicality of the models, the RIM and the DCM are possible valuation alternatives for valuing the Vietnamese firms. In terms of the discount rate, flat non-stochastic risk-adjusted discount rates can be applied in equity valuation, in which the discount rates are estimated for individual firms to incorporate more firm-specific information into the valuation.</w:t>
      </w:r>
    </w:p>
    <w:p w14:paraId="24849920" w14:textId="77777777" w:rsidR="00CD420F" w:rsidRPr="006F6CE9" w:rsidRDefault="00CD420F" w:rsidP="00BC0042">
      <w:pPr>
        <w:pStyle w:val="Heading1"/>
      </w:pPr>
      <w:bookmarkStart w:id="9" w:name="_Toc251749326"/>
      <w:r w:rsidRPr="006F6CE9">
        <w:t>Conclusion</w:t>
      </w:r>
      <w:bookmarkEnd w:id="9"/>
    </w:p>
    <w:p w14:paraId="0DF31FDE" w14:textId="77777777" w:rsidR="00CD420F" w:rsidRPr="006F6CE9" w:rsidRDefault="00CD420F" w:rsidP="009550A8">
      <w:pPr>
        <w:rPr>
          <w:rFonts w:eastAsia="MS Mincho"/>
          <w:lang w:eastAsia="ja-JP"/>
        </w:rPr>
      </w:pPr>
      <w:r w:rsidRPr="006F6CE9">
        <w:t xml:space="preserve">The overview of the models shows that all models emanate from the assumption that the firm value equals the present value of expected future dividends. The development of a model is implemented by applying relations among accounting constructs into some algebraic machinery. Of all the relations, the clean surplus relations are essentially introduced to replace accounting attributes for dividends. These accounting relations and assumptions about the evolution of accounting variables are critical for a model to have economic sense. A developed valuation model </w:t>
      </w:r>
      <w:r w:rsidRPr="006F6CE9">
        <w:rPr>
          <w:rFonts w:eastAsia="MS Mincho"/>
          <w:lang w:eastAsia="ja-JP"/>
        </w:rPr>
        <w:t>should provide a direct link between future financial data and firm value. The paper generalizes existing valuation models to provide a theoretical base for selecting, modeling and applying valuation approaches in practice. This paper provides a general structure of valuation models and point out how to construct the components and variables of a valuation model and how to fit valuation attributes into the model. This paper helps to clarify the insights of formulating a valuation model and suggest useful implications for practice in the context of Vietnam.</w:t>
      </w:r>
    </w:p>
    <w:p w14:paraId="431A46D0" w14:textId="77777777" w:rsidR="00CD420F" w:rsidRPr="006F6CE9" w:rsidRDefault="00CD420F" w:rsidP="006F6CE9">
      <w:pPr>
        <w:pStyle w:val="11TiliuthamkhoTiu"/>
      </w:pPr>
      <w:r w:rsidRPr="006F6CE9">
        <w:t xml:space="preserve">Reference - </w:t>
      </w:r>
      <w:proofErr w:type="spellStart"/>
      <w:r w:rsidRPr="006F6CE9">
        <w:t>Tài</w:t>
      </w:r>
      <w:proofErr w:type="spellEnd"/>
      <w:r w:rsidRPr="006F6CE9">
        <w:t xml:space="preserve"> </w:t>
      </w:r>
      <w:proofErr w:type="spellStart"/>
      <w:r w:rsidRPr="006F6CE9">
        <w:t>liệu</w:t>
      </w:r>
      <w:proofErr w:type="spellEnd"/>
      <w:r w:rsidRPr="006F6CE9">
        <w:t xml:space="preserve"> </w:t>
      </w:r>
      <w:proofErr w:type="spellStart"/>
      <w:r w:rsidRPr="006F6CE9">
        <w:t>tham</w:t>
      </w:r>
      <w:proofErr w:type="spellEnd"/>
      <w:r w:rsidRPr="006F6CE9">
        <w:t xml:space="preserve"> </w:t>
      </w:r>
      <w:proofErr w:type="spellStart"/>
      <w:r w:rsidRPr="006F6CE9">
        <w:t>khảo</w:t>
      </w:r>
      <w:proofErr w:type="spellEnd"/>
    </w:p>
    <w:p w14:paraId="621B781F" w14:textId="77777777" w:rsidR="00CD420F" w:rsidRPr="006F6CE9" w:rsidRDefault="00CD420F" w:rsidP="006F6CE9">
      <w:pPr>
        <w:pStyle w:val="10TiliuthamkhoNidung"/>
      </w:pPr>
      <w:bookmarkStart w:id="10" w:name="_Ref447645413"/>
      <w:r w:rsidRPr="006F6CE9">
        <w:rPr>
          <w:rFonts w:eastAsia="MS Mincho"/>
          <w:lang w:eastAsia="ja-JP"/>
        </w:rPr>
        <w:t xml:space="preserve">Bernard, V. L., “The </w:t>
      </w:r>
      <w:proofErr w:type="spellStart"/>
      <w:r w:rsidRPr="006F6CE9">
        <w:rPr>
          <w:rFonts w:eastAsia="MS Mincho"/>
          <w:lang w:eastAsia="ja-JP"/>
        </w:rPr>
        <w:t>Feltham-Ohlson</w:t>
      </w:r>
      <w:proofErr w:type="spellEnd"/>
      <w:r w:rsidRPr="006F6CE9">
        <w:rPr>
          <w:rFonts w:eastAsia="MS Mincho"/>
          <w:lang w:eastAsia="ja-JP"/>
        </w:rPr>
        <w:t xml:space="preserve"> Framework: Implications for Empiricists”, </w:t>
      </w:r>
      <w:r w:rsidRPr="006F6CE9">
        <w:rPr>
          <w:i/>
          <w:iCs/>
        </w:rPr>
        <w:t>Contemporary Accounting Research</w:t>
      </w:r>
      <w:r w:rsidRPr="006F6CE9">
        <w:t>, 12(</w:t>
      </w:r>
      <w:proofErr w:type="gramStart"/>
      <w:r w:rsidRPr="006F6CE9">
        <w:t>Spring</w:t>
      </w:r>
      <w:proofErr w:type="gramEnd"/>
      <w:r w:rsidRPr="006F6CE9">
        <w:t>): 733-747, 1995.</w:t>
      </w:r>
      <w:bookmarkEnd w:id="10"/>
    </w:p>
    <w:p w14:paraId="52DC1FF1" w14:textId="77777777" w:rsidR="00CD420F" w:rsidRPr="006F6CE9" w:rsidRDefault="00CD420F" w:rsidP="00040A3C">
      <w:pPr>
        <w:pStyle w:val="10TiliuthamkhoNidung"/>
      </w:pPr>
      <w:bookmarkStart w:id="11" w:name="_Ref447645068"/>
      <w:proofErr w:type="spellStart"/>
      <w:r w:rsidRPr="00040A3C">
        <w:t>Dechow</w:t>
      </w:r>
      <w:proofErr w:type="spellEnd"/>
      <w:r w:rsidRPr="00040A3C">
        <w:t>, P. M., Hutton, A. P., and Sloan, R. G.</w:t>
      </w:r>
      <w:r w:rsidRPr="006F6CE9">
        <w:t xml:space="preserve">, “An Empirical Assessment of </w:t>
      </w:r>
      <w:proofErr w:type="gramStart"/>
      <w:r w:rsidRPr="006F6CE9">
        <w:t>The</w:t>
      </w:r>
      <w:proofErr w:type="gramEnd"/>
      <w:r w:rsidRPr="006F6CE9">
        <w:t xml:space="preserve"> Residual Income Valuation Model”, </w:t>
      </w:r>
      <w:r w:rsidRPr="006F6CE9">
        <w:rPr>
          <w:i/>
          <w:iCs/>
        </w:rPr>
        <w:t>Journal of Accounting and Economics</w:t>
      </w:r>
      <w:r w:rsidRPr="006F6CE9">
        <w:t>, (26): 1-34, 1999.</w:t>
      </w:r>
      <w:bookmarkEnd w:id="11"/>
    </w:p>
    <w:p w14:paraId="61C242DB" w14:textId="77777777" w:rsidR="00CD420F" w:rsidRPr="006F6CE9" w:rsidRDefault="00CD420F" w:rsidP="006F6CE9">
      <w:pPr>
        <w:pStyle w:val="10TiliuthamkhoNidung"/>
      </w:pPr>
      <w:bookmarkStart w:id="12" w:name="_Ref447645283"/>
      <w:proofErr w:type="spellStart"/>
      <w:r w:rsidRPr="006F6CE9">
        <w:t>Fama</w:t>
      </w:r>
      <w:proofErr w:type="spellEnd"/>
      <w:r w:rsidRPr="006F6CE9">
        <w:t xml:space="preserve">, E. F. and French, K. R., “The Cross-Section of Expected Stock Returns”, </w:t>
      </w:r>
      <w:proofErr w:type="gramStart"/>
      <w:r w:rsidRPr="006F6CE9">
        <w:rPr>
          <w:i/>
          <w:iCs/>
        </w:rPr>
        <w:t>The</w:t>
      </w:r>
      <w:proofErr w:type="gramEnd"/>
      <w:r w:rsidRPr="006F6CE9">
        <w:rPr>
          <w:i/>
          <w:iCs/>
        </w:rPr>
        <w:t xml:space="preserve"> Journal of Finance</w:t>
      </w:r>
      <w:r w:rsidRPr="006F6CE9">
        <w:t>, (June): 427-465, 1992.</w:t>
      </w:r>
      <w:bookmarkEnd w:id="12"/>
    </w:p>
    <w:p w14:paraId="748BB162" w14:textId="77777777" w:rsidR="00CD420F" w:rsidRPr="006F6CE9" w:rsidRDefault="00CD420F" w:rsidP="00F22927">
      <w:pPr>
        <w:pStyle w:val="10TiliuthamkhoNidung"/>
      </w:pPr>
      <w:bookmarkStart w:id="13" w:name="_Ref447723747"/>
      <w:proofErr w:type="spellStart"/>
      <w:r w:rsidRPr="00F22927">
        <w:t>Fama</w:t>
      </w:r>
      <w:proofErr w:type="spellEnd"/>
      <w:r w:rsidRPr="00F22927">
        <w:t xml:space="preserve">, E. F. and French, K. R., </w:t>
      </w:r>
      <w:r w:rsidRPr="006F6CE9">
        <w:t xml:space="preserve">“Common Risk Factors in the Returns on Stocks and Bonds”, </w:t>
      </w:r>
      <w:r w:rsidRPr="006F6CE9">
        <w:rPr>
          <w:i/>
          <w:iCs/>
        </w:rPr>
        <w:t>Journal of Financial Economics</w:t>
      </w:r>
      <w:r w:rsidRPr="006F6CE9">
        <w:t>, (33): 3-56, 1993.</w:t>
      </w:r>
      <w:bookmarkEnd w:id="13"/>
    </w:p>
    <w:p w14:paraId="2E20F709" w14:textId="77777777" w:rsidR="00CD420F" w:rsidRPr="006F6CE9" w:rsidRDefault="00CD420F" w:rsidP="00F22927">
      <w:pPr>
        <w:pStyle w:val="10TiliuthamkhoNidung"/>
      </w:pPr>
      <w:bookmarkStart w:id="14" w:name="_Ref447723486"/>
      <w:proofErr w:type="spellStart"/>
      <w:r w:rsidRPr="00F22927">
        <w:t>Feltham</w:t>
      </w:r>
      <w:proofErr w:type="spellEnd"/>
      <w:r w:rsidRPr="00F22927">
        <w:t xml:space="preserve">, G. A., and </w:t>
      </w:r>
      <w:proofErr w:type="spellStart"/>
      <w:r w:rsidRPr="00F22927">
        <w:t>Ohlson</w:t>
      </w:r>
      <w:proofErr w:type="spellEnd"/>
      <w:r w:rsidRPr="00F22927">
        <w:t xml:space="preserve">, J. A., </w:t>
      </w:r>
      <w:r w:rsidRPr="006F6CE9">
        <w:t xml:space="preserve">“Valuation and Clean Surplus Accounting for Operating and Financial Activities”, </w:t>
      </w:r>
      <w:r w:rsidRPr="006F6CE9">
        <w:rPr>
          <w:i/>
          <w:iCs/>
        </w:rPr>
        <w:t>Contemporary Accounting Research</w:t>
      </w:r>
      <w:r w:rsidRPr="006F6CE9">
        <w:t>, 11(2):689-731, 1995.</w:t>
      </w:r>
      <w:bookmarkEnd w:id="14"/>
    </w:p>
    <w:p w14:paraId="41B1E69E" w14:textId="77777777" w:rsidR="00CD420F" w:rsidRPr="006F6CE9" w:rsidRDefault="00CD420F" w:rsidP="006F6CE9">
      <w:pPr>
        <w:pStyle w:val="10TiliuthamkhoNidung"/>
      </w:pPr>
      <w:bookmarkStart w:id="15" w:name="_Ref447644579"/>
      <w:r w:rsidRPr="006F6CE9">
        <w:t xml:space="preserve">Frankel, R., and Lee, C. M. C., “Accounting valuation, market expectation, and cross-sectional stock returns”, </w:t>
      </w:r>
      <w:r w:rsidRPr="006F6CE9">
        <w:rPr>
          <w:i/>
          <w:iCs/>
        </w:rPr>
        <w:t>Journal of Accounting and Economics</w:t>
      </w:r>
      <w:r w:rsidRPr="006F6CE9">
        <w:t>, 25(3): 283-319, 1998.</w:t>
      </w:r>
      <w:bookmarkEnd w:id="15"/>
    </w:p>
    <w:p w14:paraId="60E906C6" w14:textId="77777777" w:rsidR="00CD420F" w:rsidRPr="006F6CE9" w:rsidRDefault="00CD420F" w:rsidP="006F6CE9">
      <w:pPr>
        <w:pStyle w:val="10TiliuthamkhoNidung"/>
      </w:pPr>
      <w:bookmarkStart w:id="16" w:name="_Ref447644988"/>
      <w:proofErr w:type="spellStart"/>
      <w:r w:rsidRPr="006F6CE9">
        <w:t>Gebhardt</w:t>
      </w:r>
      <w:proofErr w:type="spellEnd"/>
      <w:r w:rsidRPr="006F6CE9">
        <w:t xml:space="preserve">, W. R., Lee, C. M. C., and </w:t>
      </w:r>
      <w:proofErr w:type="spellStart"/>
      <w:r w:rsidRPr="006F6CE9">
        <w:t>Swaminathan</w:t>
      </w:r>
      <w:proofErr w:type="spellEnd"/>
      <w:r w:rsidRPr="006F6CE9">
        <w:t xml:space="preserve">, B., “Toward an Implied Cost of Capital”, </w:t>
      </w:r>
      <w:r w:rsidRPr="006F6CE9">
        <w:rPr>
          <w:i/>
          <w:iCs/>
        </w:rPr>
        <w:t>Journal of Accounting Research</w:t>
      </w:r>
      <w:r w:rsidRPr="006F6CE9">
        <w:t>, 39(1): 135-176, 2001.</w:t>
      </w:r>
      <w:bookmarkEnd w:id="16"/>
    </w:p>
    <w:p w14:paraId="66B5CFCA" w14:textId="77777777" w:rsidR="00CD420F" w:rsidRPr="006F6CE9" w:rsidRDefault="00CD420F" w:rsidP="006F6CE9">
      <w:pPr>
        <w:pStyle w:val="10TiliuthamkhoNidung"/>
      </w:pPr>
      <w:bookmarkStart w:id="17" w:name="_Ref447644713"/>
      <w:proofErr w:type="spellStart"/>
      <w:r w:rsidRPr="006F6CE9">
        <w:t>Gode</w:t>
      </w:r>
      <w:proofErr w:type="spellEnd"/>
      <w:r w:rsidRPr="006F6CE9">
        <w:t xml:space="preserve">, D., and </w:t>
      </w:r>
      <w:proofErr w:type="spellStart"/>
      <w:r w:rsidRPr="006F6CE9">
        <w:t>Mohanram</w:t>
      </w:r>
      <w:proofErr w:type="spellEnd"/>
      <w:r w:rsidRPr="006F6CE9">
        <w:t xml:space="preserve">, P., “Inferring the Cost of Capital Using </w:t>
      </w:r>
      <w:proofErr w:type="spellStart"/>
      <w:r w:rsidRPr="006F6CE9">
        <w:t>Ohlson-Juettner</w:t>
      </w:r>
      <w:proofErr w:type="spellEnd"/>
      <w:r w:rsidRPr="006F6CE9">
        <w:t xml:space="preserve"> Model”, </w:t>
      </w:r>
      <w:r w:rsidRPr="006F6CE9">
        <w:rPr>
          <w:i/>
          <w:iCs/>
        </w:rPr>
        <w:t>Review of Accounting Studies</w:t>
      </w:r>
      <w:r w:rsidRPr="006F6CE9">
        <w:t xml:space="preserve">, 8: 399-431, </w:t>
      </w:r>
      <w:r w:rsidRPr="006F6CE9">
        <w:lastRenderedPageBreak/>
        <w:t>2003.</w:t>
      </w:r>
      <w:bookmarkEnd w:id="17"/>
    </w:p>
    <w:p w14:paraId="67F16DDE" w14:textId="77777777" w:rsidR="00CD420F" w:rsidRPr="006F6CE9" w:rsidRDefault="00CD420F" w:rsidP="006F6CE9">
      <w:pPr>
        <w:pStyle w:val="10TiliuthamkhoNidung"/>
        <w:rPr>
          <w:rFonts w:eastAsia="MS Mincho"/>
          <w:lang w:eastAsia="ja-JP"/>
        </w:rPr>
      </w:pPr>
      <w:bookmarkStart w:id="18" w:name="_Ref447644912"/>
      <w:r w:rsidRPr="006F6CE9">
        <w:t xml:space="preserve">Hand, J. R. M., “Discussion of "Earnings, Book values, and Dividends in Equity Valuation: An Empirical Perspective"”, </w:t>
      </w:r>
      <w:r w:rsidRPr="006F6CE9">
        <w:rPr>
          <w:i/>
          <w:iCs/>
        </w:rPr>
        <w:t>Contemporary Accounting Research</w:t>
      </w:r>
      <w:proofErr w:type="gramStart"/>
      <w:r w:rsidRPr="006F6CE9">
        <w:t>,  18</w:t>
      </w:r>
      <w:proofErr w:type="gramEnd"/>
      <w:r w:rsidRPr="006F6CE9">
        <w:t>(Spring): 121-130, 2001.</w:t>
      </w:r>
      <w:bookmarkEnd w:id="18"/>
    </w:p>
    <w:p w14:paraId="3410D6A9" w14:textId="77777777" w:rsidR="00CD420F" w:rsidRPr="006F6CE9" w:rsidRDefault="00CD420F" w:rsidP="00B82CDD">
      <w:pPr>
        <w:pStyle w:val="10TiliuthamkhoNidung"/>
        <w:rPr>
          <w:rFonts w:eastAsia="MS Mincho"/>
          <w:lang w:eastAsia="ja-JP"/>
        </w:rPr>
      </w:pPr>
      <w:bookmarkStart w:id="19" w:name="_Ref447644294"/>
      <w:r w:rsidRPr="00E72062">
        <w:rPr>
          <w:rFonts w:eastAsia="MS Mincho"/>
          <w:lang w:eastAsia="ja-JP"/>
        </w:rPr>
        <w:t>Lee, C. M. C., Myers, J</w:t>
      </w:r>
      <w:proofErr w:type="gramStart"/>
      <w:r w:rsidRPr="00E72062">
        <w:rPr>
          <w:rFonts w:eastAsia="MS Mincho"/>
          <w:lang w:eastAsia="ja-JP"/>
        </w:rPr>
        <w:t>.</w:t>
      </w:r>
      <w:r w:rsidRPr="00B82CDD">
        <w:t xml:space="preserve"> </w:t>
      </w:r>
      <w:r w:rsidRPr="00B82CDD">
        <w:rPr>
          <w:rFonts w:eastAsia="MS Mincho"/>
          <w:lang w:eastAsia="ja-JP"/>
        </w:rPr>
        <w:t>,</w:t>
      </w:r>
      <w:proofErr w:type="gramEnd"/>
      <w:r w:rsidRPr="00B82CDD">
        <w:rPr>
          <w:rFonts w:eastAsia="MS Mincho"/>
          <w:lang w:eastAsia="ja-JP"/>
        </w:rPr>
        <w:t xml:space="preserve"> J., and </w:t>
      </w:r>
      <w:proofErr w:type="spellStart"/>
      <w:r w:rsidRPr="00B82CDD">
        <w:rPr>
          <w:rFonts w:eastAsia="MS Mincho"/>
          <w:lang w:eastAsia="ja-JP"/>
        </w:rPr>
        <w:t>Swaminathan</w:t>
      </w:r>
      <w:proofErr w:type="spellEnd"/>
      <w:r w:rsidRPr="00B82CDD">
        <w:rPr>
          <w:rFonts w:eastAsia="MS Mincho"/>
          <w:lang w:eastAsia="ja-JP"/>
        </w:rPr>
        <w:t>,</w:t>
      </w:r>
      <w:r w:rsidRPr="00E72062">
        <w:rPr>
          <w:rFonts w:eastAsia="MS Mincho"/>
          <w:lang w:eastAsia="ja-JP"/>
        </w:rPr>
        <w:t xml:space="preserve"> </w:t>
      </w:r>
      <w:r w:rsidRPr="006F6CE9">
        <w:rPr>
          <w:rFonts w:eastAsia="MS Mincho"/>
          <w:lang w:eastAsia="ja-JP"/>
        </w:rPr>
        <w:t xml:space="preserve">“What is the Intrinsic Value of the Dow”, </w:t>
      </w:r>
      <w:r w:rsidRPr="006F6CE9">
        <w:rPr>
          <w:rFonts w:eastAsia="MS Mincho"/>
          <w:i/>
          <w:iCs/>
          <w:lang w:eastAsia="ja-JP"/>
        </w:rPr>
        <w:t>The Journal of Finance</w:t>
      </w:r>
      <w:r w:rsidRPr="006F6CE9">
        <w:rPr>
          <w:rFonts w:eastAsia="MS Mincho"/>
          <w:lang w:eastAsia="ja-JP"/>
        </w:rPr>
        <w:t>, LIV(5): 1693-1739, 1999.</w:t>
      </w:r>
      <w:bookmarkEnd w:id="19"/>
    </w:p>
    <w:p w14:paraId="0507D249" w14:textId="77777777" w:rsidR="00CD420F" w:rsidRPr="006F6CE9" w:rsidRDefault="00CD420F" w:rsidP="006F6CE9">
      <w:pPr>
        <w:pStyle w:val="10TiliuthamkhoNidung"/>
      </w:pPr>
      <w:bookmarkStart w:id="20" w:name="_Ref447644792"/>
      <w:r w:rsidRPr="006F6CE9">
        <w:t xml:space="preserve">Miller, M., and Modigliani, F., “Dividend Policy, Growth and the Valuation of Shares”, </w:t>
      </w:r>
      <w:r w:rsidRPr="006F6CE9">
        <w:rPr>
          <w:i/>
          <w:iCs/>
        </w:rPr>
        <w:t>Journal</w:t>
      </w:r>
      <w:r w:rsidRPr="006F6CE9">
        <w:t xml:space="preserve"> </w:t>
      </w:r>
      <w:r w:rsidRPr="006F6CE9">
        <w:rPr>
          <w:i/>
          <w:iCs/>
        </w:rPr>
        <w:t>of Business</w:t>
      </w:r>
      <w:r w:rsidRPr="006F6CE9">
        <w:t>, (October): 261-297, 1961.</w:t>
      </w:r>
      <w:bookmarkEnd w:id="20"/>
    </w:p>
    <w:p w14:paraId="181AF989" w14:textId="77777777" w:rsidR="00CD420F" w:rsidRPr="006F6CE9" w:rsidRDefault="00CD420F" w:rsidP="00B82CDD">
      <w:pPr>
        <w:pStyle w:val="10TiliuthamkhoNidung"/>
      </w:pPr>
      <w:bookmarkStart w:id="21" w:name="_Ref447644446"/>
      <w:proofErr w:type="spellStart"/>
      <w:r w:rsidRPr="00B82CDD">
        <w:t>Ohlson</w:t>
      </w:r>
      <w:proofErr w:type="spellEnd"/>
      <w:r w:rsidRPr="00B82CDD">
        <w:t xml:space="preserve">, J. A., </w:t>
      </w:r>
      <w:r w:rsidRPr="006F6CE9">
        <w:t xml:space="preserve">“Earnings, Book values, and Dividends in Equity Valuation”, </w:t>
      </w:r>
      <w:r w:rsidRPr="006F6CE9">
        <w:rPr>
          <w:i/>
          <w:iCs/>
        </w:rPr>
        <w:t>Contemporary Accounting Research</w:t>
      </w:r>
      <w:r w:rsidRPr="006F6CE9">
        <w:t xml:space="preserve">, 11(2): 661-687, </w:t>
      </w:r>
      <w:r w:rsidRPr="006F6CE9">
        <w:lastRenderedPageBreak/>
        <w:t>1995.</w:t>
      </w:r>
      <w:bookmarkEnd w:id="21"/>
    </w:p>
    <w:p w14:paraId="5DE3CD64" w14:textId="77777777" w:rsidR="00CD420F" w:rsidRPr="006F6CE9" w:rsidRDefault="00CD420F" w:rsidP="00B82CDD">
      <w:pPr>
        <w:pStyle w:val="10TiliuthamkhoNidung"/>
        <w:rPr>
          <w:i/>
          <w:iCs/>
        </w:rPr>
      </w:pPr>
      <w:bookmarkStart w:id="22" w:name="_Ref447644900"/>
      <w:proofErr w:type="spellStart"/>
      <w:r w:rsidRPr="00B82CDD">
        <w:t>Ohlson</w:t>
      </w:r>
      <w:proofErr w:type="spellEnd"/>
      <w:r w:rsidRPr="00B82CDD">
        <w:t>, J. A.,</w:t>
      </w:r>
      <w:r w:rsidRPr="00B82CDD">
        <w:rPr>
          <w:i/>
          <w:iCs/>
        </w:rPr>
        <w:t xml:space="preserve"> </w:t>
      </w:r>
      <w:r w:rsidRPr="006F6CE9">
        <w:t>“Earnings, Book values, and Dividends in Equity Valuation: An Empirical Perspective”</w:t>
      </w:r>
      <w:r w:rsidRPr="006F6CE9">
        <w:rPr>
          <w:i/>
          <w:iCs/>
        </w:rPr>
        <w:t>, Contemporary Accounting Research</w:t>
      </w:r>
      <w:r w:rsidRPr="006F6CE9">
        <w:t>, 18(</w:t>
      </w:r>
      <w:proofErr w:type="gramStart"/>
      <w:r w:rsidRPr="006F6CE9">
        <w:t>Spring</w:t>
      </w:r>
      <w:proofErr w:type="gramEnd"/>
      <w:r w:rsidRPr="006F6CE9">
        <w:t>): 107-120, 2000</w:t>
      </w:r>
      <w:r w:rsidRPr="006F6CE9">
        <w:rPr>
          <w:i/>
          <w:iCs/>
        </w:rPr>
        <w:t>.</w:t>
      </w:r>
      <w:bookmarkEnd w:id="22"/>
    </w:p>
    <w:p w14:paraId="074B6041" w14:textId="77777777" w:rsidR="00CD420F" w:rsidRPr="006F6CE9" w:rsidRDefault="00CD420F" w:rsidP="00E72062">
      <w:pPr>
        <w:pStyle w:val="10TiliuthamkhoNidung"/>
      </w:pPr>
      <w:bookmarkStart w:id="23" w:name="_Ref447644691"/>
      <w:proofErr w:type="spellStart"/>
      <w:r w:rsidRPr="00E72062">
        <w:t>Ohlson</w:t>
      </w:r>
      <w:proofErr w:type="spellEnd"/>
      <w:r w:rsidRPr="00E72062">
        <w:t xml:space="preserve">, J. A., and </w:t>
      </w:r>
      <w:proofErr w:type="spellStart"/>
      <w:r w:rsidRPr="00E72062">
        <w:t>Juettner-Nauroth</w:t>
      </w:r>
      <w:proofErr w:type="spellEnd"/>
      <w:r w:rsidRPr="00E72062">
        <w:t xml:space="preserve">, B. E., </w:t>
      </w:r>
      <w:r w:rsidRPr="006F6CE9">
        <w:t xml:space="preserve">“Expected EPS and EPS Growth as Determinants of Value”, </w:t>
      </w:r>
      <w:r w:rsidRPr="006F6CE9">
        <w:rPr>
          <w:i/>
          <w:iCs/>
        </w:rPr>
        <w:t>Review of Accounting Studies</w:t>
      </w:r>
      <w:r w:rsidRPr="006F6CE9">
        <w:t>, 10: 349-365, 2005.</w:t>
      </w:r>
      <w:bookmarkEnd w:id="23"/>
    </w:p>
    <w:p w14:paraId="71B858CE" w14:textId="77777777" w:rsidR="00CD420F" w:rsidRPr="006F6CE9" w:rsidRDefault="00CD420F" w:rsidP="006F6CE9">
      <w:pPr>
        <w:pStyle w:val="10TiliuthamkhoNidung"/>
      </w:pPr>
      <w:bookmarkStart w:id="24" w:name="_Ref447645115"/>
      <w:r w:rsidRPr="006F6CE9">
        <w:t xml:space="preserve">Penman, S. H., “A Synthesis of Equity Valuation Techniques and the Terminal Value Calculation for the Dividend Discount Model”, </w:t>
      </w:r>
      <w:r w:rsidRPr="006F6CE9">
        <w:rPr>
          <w:i/>
          <w:iCs/>
        </w:rPr>
        <w:t>Review of Accounting Studies</w:t>
      </w:r>
      <w:r w:rsidRPr="006F6CE9">
        <w:t>, 2: 303-323, 1998.</w:t>
      </w:r>
      <w:bookmarkEnd w:id="24"/>
    </w:p>
    <w:p w14:paraId="4833C3B5" w14:textId="77777777" w:rsidR="00CD420F" w:rsidRPr="006F6CE9" w:rsidRDefault="00CD420F" w:rsidP="00B82CDD">
      <w:pPr>
        <w:ind w:firstLine="0"/>
      </w:pPr>
    </w:p>
    <w:p w14:paraId="04E7CDC0" w14:textId="77777777" w:rsidR="00CD420F" w:rsidRPr="006F6CE9" w:rsidRDefault="00CD420F" w:rsidP="00A43293">
      <w:pPr>
        <w:sectPr w:rsidR="00CD420F" w:rsidRPr="006F6CE9" w:rsidSect="00680995">
          <w:type w:val="continuous"/>
          <w:pgSz w:w="10773" w:h="15026" w:code="9"/>
          <w:pgMar w:top="567" w:right="567" w:bottom="567" w:left="567" w:header="284" w:footer="284" w:gutter="0"/>
          <w:cols w:num="2" w:space="284"/>
          <w:docGrid w:linePitch="360"/>
        </w:sectPr>
      </w:pPr>
    </w:p>
    <w:p w14:paraId="4BCCEDCE" w14:textId="77777777" w:rsidR="00CD420F" w:rsidRPr="006F6CE9" w:rsidRDefault="00CD420F" w:rsidP="00F20487">
      <w:pPr>
        <w:jc w:val="center"/>
      </w:pPr>
      <w:r w:rsidRPr="006F6CE9">
        <w:lastRenderedPageBreak/>
        <w:t xml:space="preserve">(BBT </w:t>
      </w:r>
      <w:proofErr w:type="spellStart"/>
      <w:r w:rsidRPr="006F6CE9">
        <w:t>nhận</w:t>
      </w:r>
      <w:proofErr w:type="spellEnd"/>
      <w:r w:rsidRPr="006F6CE9">
        <w:t xml:space="preserve"> </w:t>
      </w:r>
      <w:proofErr w:type="spellStart"/>
      <w:r w:rsidRPr="006F6CE9">
        <w:t>bài</w:t>
      </w:r>
      <w:proofErr w:type="spellEnd"/>
      <w:r w:rsidRPr="006F6CE9">
        <w:t xml:space="preserve">: …/…/2014, </w:t>
      </w:r>
      <w:proofErr w:type="spellStart"/>
      <w:r w:rsidRPr="006F6CE9">
        <w:t>phản</w:t>
      </w:r>
      <w:proofErr w:type="spellEnd"/>
      <w:r w:rsidRPr="006F6CE9">
        <w:t xml:space="preserve"> </w:t>
      </w:r>
      <w:proofErr w:type="spellStart"/>
      <w:r w:rsidRPr="006F6CE9">
        <w:t>biện</w:t>
      </w:r>
      <w:proofErr w:type="spellEnd"/>
      <w:r w:rsidRPr="006F6CE9">
        <w:t xml:space="preserve"> </w:t>
      </w:r>
      <w:proofErr w:type="spellStart"/>
      <w:r w:rsidRPr="006F6CE9">
        <w:t>xong</w:t>
      </w:r>
      <w:proofErr w:type="spellEnd"/>
      <w:r w:rsidRPr="006F6CE9">
        <w:t>: …/…/2014))</w:t>
      </w:r>
    </w:p>
    <w:p w14:paraId="0FCBD460" w14:textId="77777777" w:rsidR="00CD420F" w:rsidRPr="006C3095" w:rsidRDefault="00CD420F" w:rsidP="00F24771">
      <w:pPr>
        <w:jc w:val="right"/>
      </w:pPr>
    </w:p>
    <w:sectPr w:rsidR="00CD420F" w:rsidRPr="006C3095" w:rsidSect="00F20487">
      <w:type w:val="continuous"/>
      <w:pgSz w:w="10773" w:h="15026" w:code="9"/>
      <w:pgMar w:top="567" w:right="567" w:bottom="567" w:left="567" w:header="284" w:footer="284" w:gutter="0"/>
      <w:cols w:space="284"/>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9A4039A" w15:done="0"/>
  <w15:commentEx w15:paraId="342B17E5" w15:done="0"/>
  <w15:commentEx w15:paraId="74407AB7" w15:done="0"/>
  <w15:commentEx w15:paraId="68B0A61B" w15:done="0"/>
  <w15:commentEx w15:paraId="5BE13BBD" w15:done="0"/>
  <w15:commentEx w15:paraId="6ABDAB02" w15:done="0"/>
  <w15:commentEx w15:paraId="0956546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B0269D" w14:textId="77777777" w:rsidR="00A22DDE" w:rsidRDefault="00A22DDE">
      <w:r>
        <w:separator/>
      </w:r>
    </w:p>
  </w:endnote>
  <w:endnote w:type="continuationSeparator" w:id="0">
    <w:p w14:paraId="4793DDF6" w14:textId="77777777" w:rsidR="00A22DDE" w:rsidRDefault="00A22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Ntimes New Roman">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8CF5C5" w14:textId="77777777" w:rsidR="00CD420F" w:rsidRDefault="00CD420F">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6DD199" w14:textId="77777777" w:rsidR="00A22DDE" w:rsidRDefault="00A22DDE">
      <w:r>
        <w:separator/>
      </w:r>
    </w:p>
  </w:footnote>
  <w:footnote w:type="continuationSeparator" w:id="0">
    <w:p w14:paraId="3B378D5F" w14:textId="77777777" w:rsidR="00A22DDE" w:rsidRDefault="00A22D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299DBA" w14:textId="77777777" w:rsidR="00CD420F" w:rsidRPr="003F4592" w:rsidRDefault="00CD420F" w:rsidP="003F4592">
    <w:pPr>
      <w:pStyle w:val="Header"/>
      <w:pBdr>
        <w:bottom w:val="single" w:sz="4" w:space="1" w:color="auto"/>
      </w:pBdr>
    </w:pPr>
    <w:r>
      <w:tab/>
    </w:r>
    <w:r w:rsidR="00057A22">
      <w:fldChar w:fldCharType="begin"/>
    </w:r>
    <w:r w:rsidR="00057A22">
      <w:instrText xml:space="preserve"> PAGE   \* MERGEFORMAT </w:instrText>
    </w:r>
    <w:r w:rsidR="00057A22">
      <w:fldChar w:fldCharType="separate"/>
    </w:r>
    <w:r w:rsidR="005400C7">
      <w:rPr>
        <w:noProof/>
      </w:rPr>
      <w:t>4</w:t>
    </w:r>
    <w:r w:rsidR="00057A22">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0F6F81" w14:textId="77777777" w:rsidR="00CD420F" w:rsidRPr="003F4592" w:rsidRDefault="00057A22" w:rsidP="00E40F9E">
    <w:pPr>
      <w:pStyle w:val="Header"/>
      <w:pBdr>
        <w:bottom w:val="single" w:sz="4" w:space="1" w:color="auto"/>
      </w:pBdr>
    </w:pPr>
    <w:r>
      <w:fldChar w:fldCharType="begin"/>
    </w:r>
    <w:r>
      <w:instrText xml:space="preserve"> PAGE   \* MERGEFORMAT </w:instrText>
    </w:r>
    <w:r>
      <w:fldChar w:fldCharType="separate"/>
    </w:r>
    <w:r w:rsidR="005400C7">
      <w:rPr>
        <w:noProof/>
      </w:rPr>
      <w:t>1</w:t>
    </w:r>
    <w:r>
      <w:rPr>
        <w:noProof/>
      </w:rPr>
      <w:fldChar w:fldCharType="end"/>
    </w:r>
    <w:r w:rsidR="00CD420F" w:rsidRPr="003F4592">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1468F"/>
    <w:multiLevelType w:val="multilevel"/>
    <w:tmpl w:val="0A0A708C"/>
    <w:lvl w:ilvl="0">
      <w:start w:val="1"/>
      <w:numFmt w:val="decimal"/>
      <w:pStyle w:val="Heading1"/>
      <w:suff w:val="space"/>
      <w:lvlText w:val="%1."/>
      <w:lvlJc w:val="left"/>
      <w:rPr>
        <w:rFonts w:hint="default"/>
      </w:rPr>
    </w:lvl>
    <w:lvl w:ilvl="1">
      <w:start w:val="1"/>
      <w:numFmt w:val="decimal"/>
      <w:pStyle w:val="Heading2"/>
      <w:suff w:val="space"/>
      <w:lvlText w:val="%1.%2."/>
      <w:lvlJc w:val="left"/>
      <w:rPr>
        <w:rFonts w:hint="default"/>
      </w:rPr>
    </w:lvl>
    <w:lvl w:ilvl="2">
      <w:start w:val="1"/>
      <w:numFmt w:val="decimal"/>
      <w:pStyle w:val="Heading3"/>
      <w:suff w:val="space"/>
      <w:lvlText w:val="%1.%2.%3."/>
      <w:lvlJc w:val="left"/>
      <w:rPr>
        <w:rFonts w:hint="default"/>
      </w:rPr>
    </w:lvl>
    <w:lvl w:ilvl="3">
      <w:start w:val="1"/>
      <w:numFmt w:val="lowerLetter"/>
      <w:pStyle w:val="Heading4"/>
      <w:suff w:val="space"/>
      <w:lvlText w:val="%4."/>
      <w:lvlJc w:val="left"/>
      <w:pPr>
        <w:ind w:left="284"/>
      </w:pPr>
      <w:rPr>
        <w:rFonts w:hint="default"/>
      </w:rPr>
    </w:lvl>
    <w:lvl w:ilvl="4">
      <w:start w:val="1"/>
      <w:numFmt w:val="decimal"/>
      <w:pStyle w:val="Heading5"/>
      <w:suff w:val="space"/>
      <w:lvlText w:val="%1.%2.%3.%4.%5."/>
      <w:lvlJc w:val="left"/>
      <w:rPr>
        <w:rFonts w:hint="default"/>
      </w:rPr>
    </w:lvl>
    <w:lvl w:ilvl="5">
      <w:start w:val="1"/>
      <w:numFmt w:val="decimal"/>
      <w:pStyle w:val="Heading6"/>
      <w:suff w:val="space"/>
      <w:lvlText w:val="%1.%2.%3.%4.%5.%6."/>
      <w:lvlJc w:val="left"/>
      <w:rPr>
        <w:rFonts w:hint="default"/>
      </w:rPr>
    </w:lvl>
    <w:lvl w:ilvl="6">
      <w:start w:val="1"/>
      <w:numFmt w:val="decimal"/>
      <w:pStyle w:val="Heading7"/>
      <w:suff w:val="space"/>
      <w:lvlText w:val="%1.%2.%3.%4.%5.%6.%7."/>
      <w:lvlJc w:val="left"/>
      <w:rPr>
        <w:rFonts w:hint="default"/>
      </w:rPr>
    </w:lvl>
    <w:lvl w:ilvl="7">
      <w:start w:val="1"/>
      <w:numFmt w:val="decimal"/>
      <w:pStyle w:val="Heading8"/>
      <w:suff w:val="space"/>
      <w:lvlText w:val="%1.%2.%3.%4.%5.%6.%7.%8."/>
      <w:lvlJc w:val="left"/>
      <w:rPr>
        <w:rFonts w:hint="default"/>
      </w:rPr>
    </w:lvl>
    <w:lvl w:ilvl="8">
      <w:start w:val="1"/>
      <w:numFmt w:val="decimal"/>
      <w:pStyle w:val="Heading9"/>
      <w:suff w:val="space"/>
      <w:lvlText w:val="%1.%2.%3.%4.%5.%6.%7.%8.%9."/>
      <w:lvlJc w:val="left"/>
      <w:rPr>
        <w:rFonts w:hint="default"/>
      </w:rPr>
    </w:lvl>
  </w:abstractNum>
  <w:abstractNum w:abstractNumId="1">
    <w:nsid w:val="214C26F2"/>
    <w:multiLevelType w:val="hybridMultilevel"/>
    <w:tmpl w:val="93FCC8A4"/>
    <w:lvl w:ilvl="0" w:tplc="5FF00852">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nsid w:val="5DC2196E"/>
    <w:multiLevelType w:val="multilevel"/>
    <w:tmpl w:val="93EC4178"/>
    <w:lvl w:ilvl="0">
      <w:start w:val="1"/>
      <w:numFmt w:val="decimal"/>
      <w:suff w:val="space"/>
      <w:lvlText w:val="%1."/>
      <w:lvlJc w:val="left"/>
      <w:rPr>
        <w:rFonts w:hint="default"/>
      </w:rPr>
    </w:lvl>
    <w:lvl w:ilvl="1">
      <w:start w:val="1"/>
      <w:numFmt w:val="decimal"/>
      <w:suff w:val="space"/>
      <w:lvlText w:val="%1.%2."/>
      <w:lvlJc w:val="left"/>
      <w:rPr>
        <w:rFonts w:ascii="Times New Roman" w:hAnsi="Times New Roman" w:cs="Times New Roman" w:hint="default"/>
        <w:color w:val="000000"/>
      </w:rPr>
    </w:lvl>
    <w:lvl w:ilvl="2">
      <w:start w:val="1"/>
      <w:numFmt w:val="decimal"/>
      <w:suff w:val="space"/>
      <w:lvlText w:val="%1.%2.%3."/>
      <w:lvlJc w:val="left"/>
      <w:rPr>
        <w:rFonts w:hint="default"/>
      </w:rPr>
    </w:lvl>
    <w:lvl w:ilvl="3">
      <w:start w:val="1"/>
      <w:numFmt w:val="lowerLetter"/>
      <w:suff w:val="space"/>
      <w:lvlText w:val="%4)"/>
      <w:lvlJc w:val="left"/>
      <w:pPr>
        <w:ind w:firstLine="720"/>
      </w:pPr>
      <w:rPr>
        <w:rFonts w:hint="default"/>
        <w:i w:val="0"/>
        <w:iCs w:val="0"/>
        <w:color w:val="000000"/>
      </w:rPr>
    </w:lvl>
    <w:lvl w:ilvl="4">
      <w:start w:val="1"/>
      <w:numFmt w:val="decimal"/>
      <w:lvlText w:val="%1.%2.%3.%4.%5"/>
      <w:lvlJc w:val="left"/>
      <w:rPr>
        <w:rFonts w:hint="default"/>
      </w:rPr>
    </w:lvl>
    <w:lvl w:ilvl="5">
      <w:start w:val="1"/>
      <w:numFmt w:val="decimal"/>
      <w:lvlText w:val="%1.%2.%3.%4.%5.%6"/>
      <w:lvlJc w:val="left"/>
      <w:rPr>
        <w:rFonts w:hint="default"/>
      </w:rPr>
    </w:lvl>
    <w:lvl w:ilvl="6">
      <w:start w:val="1"/>
      <w:numFmt w:val="decimal"/>
      <w:lvlText w:val="%1.%2.%3.%4.%5.%6.%7"/>
      <w:lvlJc w:val="left"/>
      <w:rPr>
        <w:rFonts w:hint="default"/>
      </w:rPr>
    </w:lvl>
    <w:lvl w:ilvl="7">
      <w:start w:val="1"/>
      <w:numFmt w:val="decimal"/>
      <w:lvlText w:val="%1.%2.%3.%4.%5.%6.%7.%8"/>
      <w:lvlJc w:val="left"/>
      <w:rPr>
        <w:rFonts w:hint="default"/>
      </w:rPr>
    </w:lvl>
    <w:lvl w:ilvl="8">
      <w:start w:val="1"/>
      <w:numFmt w:val="decimal"/>
      <w:pStyle w:val="10TiliuthamkhoNidung"/>
      <w:lvlText w:val="[%9]"/>
      <w:lvlJc w:val="left"/>
      <w:pPr>
        <w:tabs>
          <w:tab w:val="num" w:pos="454"/>
        </w:tabs>
        <w:ind w:left="454" w:hanging="454"/>
      </w:pPr>
      <w:rPr>
        <w:rFonts w:hint="default"/>
        <w:i w:val="0"/>
        <w:iCs w:val="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displayBackgroundShape/>
  <w:embedSystemFonts/>
  <w:mirrorMargins/>
  <w:proofState w:spelling="clean" w:grammar="clean"/>
  <w:defaultTabStop w:val="284"/>
  <w:doNotHyphenateCaps/>
  <w:defaultTableStyle w:val="TableGrid"/>
  <w:evenAndOddHeaders/>
  <w:drawingGridHorizontalSpacing w:val="110"/>
  <w:drawingGridVerticalSpacing w:val="381"/>
  <w:displayHorizontalDrawingGridEvery w:val="0"/>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2BB2"/>
    <w:rsid w:val="0000284D"/>
    <w:rsid w:val="000029F7"/>
    <w:rsid w:val="00003351"/>
    <w:rsid w:val="00005433"/>
    <w:rsid w:val="0001000C"/>
    <w:rsid w:val="00014801"/>
    <w:rsid w:val="00015E0E"/>
    <w:rsid w:val="00016D8C"/>
    <w:rsid w:val="00020A45"/>
    <w:rsid w:val="0002324C"/>
    <w:rsid w:val="000240A9"/>
    <w:rsid w:val="000245E3"/>
    <w:rsid w:val="00027BEC"/>
    <w:rsid w:val="00034784"/>
    <w:rsid w:val="00034D6F"/>
    <w:rsid w:val="00035B6A"/>
    <w:rsid w:val="00037E28"/>
    <w:rsid w:val="00040A3C"/>
    <w:rsid w:val="000414B9"/>
    <w:rsid w:val="000417A9"/>
    <w:rsid w:val="0004621E"/>
    <w:rsid w:val="000476CB"/>
    <w:rsid w:val="0005352A"/>
    <w:rsid w:val="00054228"/>
    <w:rsid w:val="00054279"/>
    <w:rsid w:val="00054AC5"/>
    <w:rsid w:val="000562F4"/>
    <w:rsid w:val="00057A22"/>
    <w:rsid w:val="00060989"/>
    <w:rsid w:val="00064623"/>
    <w:rsid w:val="00066EA0"/>
    <w:rsid w:val="0006703E"/>
    <w:rsid w:val="00071182"/>
    <w:rsid w:val="00071CFB"/>
    <w:rsid w:val="00080DFE"/>
    <w:rsid w:val="00083590"/>
    <w:rsid w:val="000847A4"/>
    <w:rsid w:val="00090230"/>
    <w:rsid w:val="00097681"/>
    <w:rsid w:val="000A1C28"/>
    <w:rsid w:val="000A3AF9"/>
    <w:rsid w:val="000A6D9E"/>
    <w:rsid w:val="000A760C"/>
    <w:rsid w:val="000A7ACE"/>
    <w:rsid w:val="000B6166"/>
    <w:rsid w:val="000B6BBA"/>
    <w:rsid w:val="000B72B3"/>
    <w:rsid w:val="000C0109"/>
    <w:rsid w:val="000C1B38"/>
    <w:rsid w:val="000C5F19"/>
    <w:rsid w:val="000D25E4"/>
    <w:rsid w:val="000D4D42"/>
    <w:rsid w:val="000D4DBD"/>
    <w:rsid w:val="000E443B"/>
    <w:rsid w:val="000E4587"/>
    <w:rsid w:val="000E4E5F"/>
    <w:rsid w:val="000F469F"/>
    <w:rsid w:val="0010263D"/>
    <w:rsid w:val="001066BD"/>
    <w:rsid w:val="00107A87"/>
    <w:rsid w:val="00110C2F"/>
    <w:rsid w:val="00112D39"/>
    <w:rsid w:val="00113608"/>
    <w:rsid w:val="001144EA"/>
    <w:rsid w:val="0011467B"/>
    <w:rsid w:val="00117CB0"/>
    <w:rsid w:val="001209E8"/>
    <w:rsid w:val="00121143"/>
    <w:rsid w:val="00122063"/>
    <w:rsid w:val="00125C9E"/>
    <w:rsid w:val="001277D7"/>
    <w:rsid w:val="00127C7C"/>
    <w:rsid w:val="00133F6B"/>
    <w:rsid w:val="001364AE"/>
    <w:rsid w:val="001408A7"/>
    <w:rsid w:val="00141A82"/>
    <w:rsid w:val="001444BF"/>
    <w:rsid w:val="00145A5D"/>
    <w:rsid w:val="0014633C"/>
    <w:rsid w:val="00146718"/>
    <w:rsid w:val="00146DC0"/>
    <w:rsid w:val="00165E83"/>
    <w:rsid w:val="00166DF1"/>
    <w:rsid w:val="00170F6E"/>
    <w:rsid w:val="00173F8B"/>
    <w:rsid w:val="001755F4"/>
    <w:rsid w:val="00177427"/>
    <w:rsid w:val="00180787"/>
    <w:rsid w:val="00182201"/>
    <w:rsid w:val="00183E3D"/>
    <w:rsid w:val="001855A6"/>
    <w:rsid w:val="001859EA"/>
    <w:rsid w:val="00187C21"/>
    <w:rsid w:val="0019186F"/>
    <w:rsid w:val="00194A39"/>
    <w:rsid w:val="00195B27"/>
    <w:rsid w:val="00197A38"/>
    <w:rsid w:val="001A205A"/>
    <w:rsid w:val="001A2A1D"/>
    <w:rsid w:val="001A34E7"/>
    <w:rsid w:val="001A3843"/>
    <w:rsid w:val="001A3B6A"/>
    <w:rsid w:val="001B1A07"/>
    <w:rsid w:val="001B236C"/>
    <w:rsid w:val="001B2720"/>
    <w:rsid w:val="001B42D2"/>
    <w:rsid w:val="001B4915"/>
    <w:rsid w:val="001B5B0A"/>
    <w:rsid w:val="001C062B"/>
    <w:rsid w:val="001C4BBA"/>
    <w:rsid w:val="001D1D00"/>
    <w:rsid w:val="001D777E"/>
    <w:rsid w:val="001E0C81"/>
    <w:rsid w:val="001E4002"/>
    <w:rsid w:val="001E42EE"/>
    <w:rsid w:val="001E59EC"/>
    <w:rsid w:val="001F01AF"/>
    <w:rsid w:val="001F0466"/>
    <w:rsid w:val="001F334C"/>
    <w:rsid w:val="001F388B"/>
    <w:rsid w:val="001F3BB1"/>
    <w:rsid w:val="001F6FDC"/>
    <w:rsid w:val="001F7620"/>
    <w:rsid w:val="00201075"/>
    <w:rsid w:val="00201344"/>
    <w:rsid w:val="00204720"/>
    <w:rsid w:val="00206745"/>
    <w:rsid w:val="0021188C"/>
    <w:rsid w:val="0021250F"/>
    <w:rsid w:val="00212605"/>
    <w:rsid w:val="00212A16"/>
    <w:rsid w:val="002154C1"/>
    <w:rsid w:val="002154FD"/>
    <w:rsid w:val="0021565E"/>
    <w:rsid w:val="00216021"/>
    <w:rsid w:val="00216392"/>
    <w:rsid w:val="00216752"/>
    <w:rsid w:val="002174AF"/>
    <w:rsid w:val="0022019A"/>
    <w:rsid w:val="00220475"/>
    <w:rsid w:val="002217AE"/>
    <w:rsid w:val="00221B82"/>
    <w:rsid w:val="00223F3A"/>
    <w:rsid w:val="00225DD9"/>
    <w:rsid w:val="002370CE"/>
    <w:rsid w:val="00237653"/>
    <w:rsid w:val="0024197B"/>
    <w:rsid w:val="002479EC"/>
    <w:rsid w:val="0025020D"/>
    <w:rsid w:val="00262171"/>
    <w:rsid w:val="00262BBE"/>
    <w:rsid w:val="00263827"/>
    <w:rsid w:val="0026465C"/>
    <w:rsid w:val="0026600D"/>
    <w:rsid w:val="00271047"/>
    <w:rsid w:val="00271E22"/>
    <w:rsid w:val="00272FC8"/>
    <w:rsid w:val="002765C0"/>
    <w:rsid w:val="00277D3A"/>
    <w:rsid w:val="00282AAE"/>
    <w:rsid w:val="00282DAD"/>
    <w:rsid w:val="00285F23"/>
    <w:rsid w:val="00292963"/>
    <w:rsid w:val="0029658F"/>
    <w:rsid w:val="00296C21"/>
    <w:rsid w:val="002A06ED"/>
    <w:rsid w:val="002A0FAC"/>
    <w:rsid w:val="002A15D5"/>
    <w:rsid w:val="002A21D0"/>
    <w:rsid w:val="002A3C81"/>
    <w:rsid w:val="002A6752"/>
    <w:rsid w:val="002B0379"/>
    <w:rsid w:val="002B085F"/>
    <w:rsid w:val="002B09F4"/>
    <w:rsid w:val="002B315F"/>
    <w:rsid w:val="002B3917"/>
    <w:rsid w:val="002B74BD"/>
    <w:rsid w:val="002C2982"/>
    <w:rsid w:val="002C536B"/>
    <w:rsid w:val="002C58EF"/>
    <w:rsid w:val="002C6CC8"/>
    <w:rsid w:val="002C7569"/>
    <w:rsid w:val="002D0F78"/>
    <w:rsid w:val="002D15B7"/>
    <w:rsid w:val="002D1EFB"/>
    <w:rsid w:val="002D26E5"/>
    <w:rsid w:val="002D2B3C"/>
    <w:rsid w:val="002D3D2F"/>
    <w:rsid w:val="002D6E74"/>
    <w:rsid w:val="002E2C51"/>
    <w:rsid w:val="002E5295"/>
    <w:rsid w:val="002E5301"/>
    <w:rsid w:val="002E667F"/>
    <w:rsid w:val="002F07A5"/>
    <w:rsid w:val="002F10B5"/>
    <w:rsid w:val="002F2651"/>
    <w:rsid w:val="002F61F5"/>
    <w:rsid w:val="003027DE"/>
    <w:rsid w:val="00302F5F"/>
    <w:rsid w:val="0030375A"/>
    <w:rsid w:val="00305789"/>
    <w:rsid w:val="0030597B"/>
    <w:rsid w:val="00311447"/>
    <w:rsid w:val="00312B3D"/>
    <w:rsid w:val="00312ECD"/>
    <w:rsid w:val="00321F39"/>
    <w:rsid w:val="00326BFE"/>
    <w:rsid w:val="003303AF"/>
    <w:rsid w:val="00342414"/>
    <w:rsid w:val="00345A4B"/>
    <w:rsid w:val="003475DE"/>
    <w:rsid w:val="0035286B"/>
    <w:rsid w:val="00354411"/>
    <w:rsid w:val="00354ACB"/>
    <w:rsid w:val="00355152"/>
    <w:rsid w:val="00363A09"/>
    <w:rsid w:val="00365EE4"/>
    <w:rsid w:val="0037108E"/>
    <w:rsid w:val="003713DB"/>
    <w:rsid w:val="0037290C"/>
    <w:rsid w:val="00373662"/>
    <w:rsid w:val="00375BE2"/>
    <w:rsid w:val="00381987"/>
    <w:rsid w:val="0038263E"/>
    <w:rsid w:val="003829C6"/>
    <w:rsid w:val="003857F9"/>
    <w:rsid w:val="003857FF"/>
    <w:rsid w:val="00386E84"/>
    <w:rsid w:val="00393EF6"/>
    <w:rsid w:val="0039424B"/>
    <w:rsid w:val="00397C1C"/>
    <w:rsid w:val="003A2412"/>
    <w:rsid w:val="003A4A42"/>
    <w:rsid w:val="003A583B"/>
    <w:rsid w:val="003A6380"/>
    <w:rsid w:val="003B2EFE"/>
    <w:rsid w:val="003B3545"/>
    <w:rsid w:val="003B5643"/>
    <w:rsid w:val="003C170D"/>
    <w:rsid w:val="003C3BB7"/>
    <w:rsid w:val="003C3F39"/>
    <w:rsid w:val="003C4D13"/>
    <w:rsid w:val="003C6069"/>
    <w:rsid w:val="003D2DC6"/>
    <w:rsid w:val="003D4204"/>
    <w:rsid w:val="003D43D7"/>
    <w:rsid w:val="003D684D"/>
    <w:rsid w:val="003E2342"/>
    <w:rsid w:val="003E2D0D"/>
    <w:rsid w:val="003E6418"/>
    <w:rsid w:val="003F2C02"/>
    <w:rsid w:val="003F4592"/>
    <w:rsid w:val="003F5354"/>
    <w:rsid w:val="003F60E8"/>
    <w:rsid w:val="0040729C"/>
    <w:rsid w:val="00410B04"/>
    <w:rsid w:val="0041257F"/>
    <w:rsid w:val="004219C5"/>
    <w:rsid w:val="00423111"/>
    <w:rsid w:val="00432979"/>
    <w:rsid w:val="004347E8"/>
    <w:rsid w:val="00436AFB"/>
    <w:rsid w:val="00437B69"/>
    <w:rsid w:val="00441084"/>
    <w:rsid w:val="00444145"/>
    <w:rsid w:val="004459CB"/>
    <w:rsid w:val="004461BC"/>
    <w:rsid w:val="00447463"/>
    <w:rsid w:val="0045111A"/>
    <w:rsid w:val="00452BF4"/>
    <w:rsid w:val="004571AE"/>
    <w:rsid w:val="00462457"/>
    <w:rsid w:val="00463F00"/>
    <w:rsid w:val="00464F46"/>
    <w:rsid w:val="00464F84"/>
    <w:rsid w:val="00470F1D"/>
    <w:rsid w:val="00471927"/>
    <w:rsid w:val="00472ED7"/>
    <w:rsid w:val="00476D48"/>
    <w:rsid w:val="00477461"/>
    <w:rsid w:val="0048551D"/>
    <w:rsid w:val="00491FE4"/>
    <w:rsid w:val="00494919"/>
    <w:rsid w:val="00496805"/>
    <w:rsid w:val="00497521"/>
    <w:rsid w:val="004A1A41"/>
    <w:rsid w:val="004A6700"/>
    <w:rsid w:val="004B1F60"/>
    <w:rsid w:val="004B2266"/>
    <w:rsid w:val="004B54C2"/>
    <w:rsid w:val="004B67C2"/>
    <w:rsid w:val="004C4655"/>
    <w:rsid w:val="004C6B6B"/>
    <w:rsid w:val="004D37A4"/>
    <w:rsid w:val="004D45DD"/>
    <w:rsid w:val="004E0364"/>
    <w:rsid w:val="004E061B"/>
    <w:rsid w:val="004F07C3"/>
    <w:rsid w:val="004F1310"/>
    <w:rsid w:val="004F5145"/>
    <w:rsid w:val="004F7680"/>
    <w:rsid w:val="00500864"/>
    <w:rsid w:val="00503FAB"/>
    <w:rsid w:val="00504126"/>
    <w:rsid w:val="00505146"/>
    <w:rsid w:val="00505FA7"/>
    <w:rsid w:val="0051045D"/>
    <w:rsid w:val="00510A88"/>
    <w:rsid w:val="005113A5"/>
    <w:rsid w:val="00513340"/>
    <w:rsid w:val="00517D7A"/>
    <w:rsid w:val="00520772"/>
    <w:rsid w:val="005216EE"/>
    <w:rsid w:val="0052202B"/>
    <w:rsid w:val="00524318"/>
    <w:rsid w:val="005251E5"/>
    <w:rsid w:val="00531929"/>
    <w:rsid w:val="00532A6F"/>
    <w:rsid w:val="00534068"/>
    <w:rsid w:val="00534643"/>
    <w:rsid w:val="00534989"/>
    <w:rsid w:val="00534B86"/>
    <w:rsid w:val="005366A9"/>
    <w:rsid w:val="00536C15"/>
    <w:rsid w:val="005400C7"/>
    <w:rsid w:val="005447FC"/>
    <w:rsid w:val="00544AF0"/>
    <w:rsid w:val="005463EC"/>
    <w:rsid w:val="00546915"/>
    <w:rsid w:val="00551B5F"/>
    <w:rsid w:val="00552898"/>
    <w:rsid w:val="00557502"/>
    <w:rsid w:val="00561526"/>
    <w:rsid w:val="00561E9C"/>
    <w:rsid w:val="00564E85"/>
    <w:rsid w:val="005670B3"/>
    <w:rsid w:val="005700AB"/>
    <w:rsid w:val="005718A5"/>
    <w:rsid w:val="00572678"/>
    <w:rsid w:val="0057352B"/>
    <w:rsid w:val="00573541"/>
    <w:rsid w:val="00573E60"/>
    <w:rsid w:val="00574891"/>
    <w:rsid w:val="005849B5"/>
    <w:rsid w:val="0058571C"/>
    <w:rsid w:val="00587D8F"/>
    <w:rsid w:val="00595230"/>
    <w:rsid w:val="005A25D5"/>
    <w:rsid w:val="005A2699"/>
    <w:rsid w:val="005A50E6"/>
    <w:rsid w:val="005A5F72"/>
    <w:rsid w:val="005A69A9"/>
    <w:rsid w:val="005A7227"/>
    <w:rsid w:val="005B3ACF"/>
    <w:rsid w:val="005B7D15"/>
    <w:rsid w:val="005C4AE5"/>
    <w:rsid w:val="005C65CB"/>
    <w:rsid w:val="005C759B"/>
    <w:rsid w:val="005D0EAE"/>
    <w:rsid w:val="005D4397"/>
    <w:rsid w:val="005D47E3"/>
    <w:rsid w:val="005E01FF"/>
    <w:rsid w:val="005E5ACC"/>
    <w:rsid w:val="005E6651"/>
    <w:rsid w:val="005F1D3E"/>
    <w:rsid w:val="005F40E9"/>
    <w:rsid w:val="005F6C18"/>
    <w:rsid w:val="00603316"/>
    <w:rsid w:val="006061F0"/>
    <w:rsid w:val="00606F15"/>
    <w:rsid w:val="00612C69"/>
    <w:rsid w:val="00616196"/>
    <w:rsid w:val="00617E71"/>
    <w:rsid w:val="00620F19"/>
    <w:rsid w:val="006250F0"/>
    <w:rsid w:val="00625ADA"/>
    <w:rsid w:val="00631A10"/>
    <w:rsid w:val="00636097"/>
    <w:rsid w:val="00640AB7"/>
    <w:rsid w:val="00642381"/>
    <w:rsid w:val="00645E33"/>
    <w:rsid w:val="00653C7B"/>
    <w:rsid w:val="0065618C"/>
    <w:rsid w:val="00656878"/>
    <w:rsid w:val="00657100"/>
    <w:rsid w:val="00660AA7"/>
    <w:rsid w:val="00661101"/>
    <w:rsid w:val="00663DDE"/>
    <w:rsid w:val="00672EBC"/>
    <w:rsid w:val="00672FBE"/>
    <w:rsid w:val="00673F03"/>
    <w:rsid w:val="006746FC"/>
    <w:rsid w:val="00674CBA"/>
    <w:rsid w:val="00680995"/>
    <w:rsid w:val="00681BB3"/>
    <w:rsid w:val="00681F90"/>
    <w:rsid w:val="0068290F"/>
    <w:rsid w:val="00687CEC"/>
    <w:rsid w:val="006928B5"/>
    <w:rsid w:val="00692B63"/>
    <w:rsid w:val="00693EFC"/>
    <w:rsid w:val="006943F3"/>
    <w:rsid w:val="0069703A"/>
    <w:rsid w:val="006A0913"/>
    <w:rsid w:val="006A2211"/>
    <w:rsid w:val="006A6EF3"/>
    <w:rsid w:val="006C1728"/>
    <w:rsid w:val="006C2455"/>
    <w:rsid w:val="006C3095"/>
    <w:rsid w:val="006C3A5F"/>
    <w:rsid w:val="006C5E2D"/>
    <w:rsid w:val="006D2BCF"/>
    <w:rsid w:val="006D302B"/>
    <w:rsid w:val="006E04CD"/>
    <w:rsid w:val="006E0EC5"/>
    <w:rsid w:val="006E0F50"/>
    <w:rsid w:val="006E155F"/>
    <w:rsid w:val="006E2209"/>
    <w:rsid w:val="006E2CBF"/>
    <w:rsid w:val="006E4210"/>
    <w:rsid w:val="006F1BE6"/>
    <w:rsid w:val="006F6CE9"/>
    <w:rsid w:val="006F701E"/>
    <w:rsid w:val="00700225"/>
    <w:rsid w:val="007008BD"/>
    <w:rsid w:val="00702BB2"/>
    <w:rsid w:val="007031E0"/>
    <w:rsid w:val="007033DD"/>
    <w:rsid w:val="0070652D"/>
    <w:rsid w:val="00706CED"/>
    <w:rsid w:val="007120A2"/>
    <w:rsid w:val="00713910"/>
    <w:rsid w:val="00713F17"/>
    <w:rsid w:val="0071679E"/>
    <w:rsid w:val="00722CAA"/>
    <w:rsid w:val="007249D0"/>
    <w:rsid w:val="00726691"/>
    <w:rsid w:val="007302B0"/>
    <w:rsid w:val="00731C42"/>
    <w:rsid w:val="00733FBF"/>
    <w:rsid w:val="007348E4"/>
    <w:rsid w:val="007363CE"/>
    <w:rsid w:val="00736514"/>
    <w:rsid w:val="00751D2C"/>
    <w:rsid w:val="0075277D"/>
    <w:rsid w:val="00752FF3"/>
    <w:rsid w:val="007554AE"/>
    <w:rsid w:val="00756D26"/>
    <w:rsid w:val="00760E9D"/>
    <w:rsid w:val="00762843"/>
    <w:rsid w:val="00762BCC"/>
    <w:rsid w:val="0076555C"/>
    <w:rsid w:val="0076600B"/>
    <w:rsid w:val="00771613"/>
    <w:rsid w:val="007726F1"/>
    <w:rsid w:val="007736DA"/>
    <w:rsid w:val="00774FA4"/>
    <w:rsid w:val="00791648"/>
    <w:rsid w:val="0079261D"/>
    <w:rsid w:val="0079412B"/>
    <w:rsid w:val="007A3B65"/>
    <w:rsid w:val="007A4A11"/>
    <w:rsid w:val="007B085F"/>
    <w:rsid w:val="007B1873"/>
    <w:rsid w:val="007C2BAF"/>
    <w:rsid w:val="007C4341"/>
    <w:rsid w:val="007C475A"/>
    <w:rsid w:val="007C4CA8"/>
    <w:rsid w:val="007D0BEE"/>
    <w:rsid w:val="007D1909"/>
    <w:rsid w:val="007D4A42"/>
    <w:rsid w:val="007D72FA"/>
    <w:rsid w:val="007D75FC"/>
    <w:rsid w:val="007E1738"/>
    <w:rsid w:val="007E68AD"/>
    <w:rsid w:val="007F0053"/>
    <w:rsid w:val="007F2F05"/>
    <w:rsid w:val="007F3460"/>
    <w:rsid w:val="007F3D83"/>
    <w:rsid w:val="007F4C0F"/>
    <w:rsid w:val="007F7A08"/>
    <w:rsid w:val="00807D4F"/>
    <w:rsid w:val="00812509"/>
    <w:rsid w:val="00815D58"/>
    <w:rsid w:val="008274DA"/>
    <w:rsid w:val="00827C14"/>
    <w:rsid w:val="008323BB"/>
    <w:rsid w:val="00832468"/>
    <w:rsid w:val="00832EA3"/>
    <w:rsid w:val="008343C2"/>
    <w:rsid w:val="008360DE"/>
    <w:rsid w:val="008373BA"/>
    <w:rsid w:val="00843644"/>
    <w:rsid w:val="00843DF0"/>
    <w:rsid w:val="00845721"/>
    <w:rsid w:val="008506C1"/>
    <w:rsid w:val="00852DEA"/>
    <w:rsid w:val="00855464"/>
    <w:rsid w:val="008573D8"/>
    <w:rsid w:val="00862702"/>
    <w:rsid w:val="00873087"/>
    <w:rsid w:val="00874B6C"/>
    <w:rsid w:val="00874C48"/>
    <w:rsid w:val="00882F9F"/>
    <w:rsid w:val="00883B78"/>
    <w:rsid w:val="00887BCF"/>
    <w:rsid w:val="00890628"/>
    <w:rsid w:val="00890AE4"/>
    <w:rsid w:val="00891C93"/>
    <w:rsid w:val="008966F7"/>
    <w:rsid w:val="008968C2"/>
    <w:rsid w:val="008A7A6F"/>
    <w:rsid w:val="008B13FD"/>
    <w:rsid w:val="008B7155"/>
    <w:rsid w:val="008C1BAF"/>
    <w:rsid w:val="008C215E"/>
    <w:rsid w:val="008C3D4B"/>
    <w:rsid w:val="008C4432"/>
    <w:rsid w:val="008C732A"/>
    <w:rsid w:val="008D0870"/>
    <w:rsid w:val="008D0E36"/>
    <w:rsid w:val="008D22F6"/>
    <w:rsid w:val="008D33E0"/>
    <w:rsid w:val="008D3AF1"/>
    <w:rsid w:val="008D3D3B"/>
    <w:rsid w:val="008E0D5D"/>
    <w:rsid w:val="00902162"/>
    <w:rsid w:val="00910346"/>
    <w:rsid w:val="00912AEE"/>
    <w:rsid w:val="00914C84"/>
    <w:rsid w:val="00916A5B"/>
    <w:rsid w:val="0092075B"/>
    <w:rsid w:val="00922C62"/>
    <w:rsid w:val="00925634"/>
    <w:rsid w:val="0092792C"/>
    <w:rsid w:val="00932EAB"/>
    <w:rsid w:val="0093427A"/>
    <w:rsid w:val="00935BDE"/>
    <w:rsid w:val="00937D2B"/>
    <w:rsid w:val="009435A2"/>
    <w:rsid w:val="00946F67"/>
    <w:rsid w:val="00947166"/>
    <w:rsid w:val="00950E7E"/>
    <w:rsid w:val="0095297E"/>
    <w:rsid w:val="009535F5"/>
    <w:rsid w:val="00953E79"/>
    <w:rsid w:val="009545D1"/>
    <w:rsid w:val="009546B4"/>
    <w:rsid w:val="009550A8"/>
    <w:rsid w:val="00956604"/>
    <w:rsid w:val="00956F33"/>
    <w:rsid w:val="009618B2"/>
    <w:rsid w:val="009621A2"/>
    <w:rsid w:val="00962795"/>
    <w:rsid w:val="00967627"/>
    <w:rsid w:val="009734DE"/>
    <w:rsid w:val="00974147"/>
    <w:rsid w:val="00974812"/>
    <w:rsid w:val="0098137F"/>
    <w:rsid w:val="009818AE"/>
    <w:rsid w:val="00982E78"/>
    <w:rsid w:val="00983D92"/>
    <w:rsid w:val="00987A46"/>
    <w:rsid w:val="009A12B0"/>
    <w:rsid w:val="009A2A84"/>
    <w:rsid w:val="009A7F60"/>
    <w:rsid w:val="009B39BB"/>
    <w:rsid w:val="009B7D3B"/>
    <w:rsid w:val="009C1E63"/>
    <w:rsid w:val="009C3AF4"/>
    <w:rsid w:val="009C643E"/>
    <w:rsid w:val="009C6441"/>
    <w:rsid w:val="009D2CF4"/>
    <w:rsid w:val="009D2F08"/>
    <w:rsid w:val="009D4327"/>
    <w:rsid w:val="009D45C0"/>
    <w:rsid w:val="009E5D24"/>
    <w:rsid w:val="009F1FE9"/>
    <w:rsid w:val="009F2B69"/>
    <w:rsid w:val="009F2FAE"/>
    <w:rsid w:val="009F4109"/>
    <w:rsid w:val="009F51DF"/>
    <w:rsid w:val="009F5399"/>
    <w:rsid w:val="00A00A78"/>
    <w:rsid w:val="00A01345"/>
    <w:rsid w:val="00A02D51"/>
    <w:rsid w:val="00A04906"/>
    <w:rsid w:val="00A07BE0"/>
    <w:rsid w:val="00A20B9C"/>
    <w:rsid w:val="00A22DDE"/>
    <w:rsid w:val="00A317DF"/>
    <w:rsid w:val="00A34866"/>
    <w:rsid w:val="00A34949"/>
    <w:rsid w:val="00A34F06"/>
    <w:rsid w:val="00A3684A"/>
    <w:rsid w:val="00A43293"/>
    <w:rsid w:val="00A43D4E"/>
    <w:rsid w:val="00A51339"/>
    <w:rsid w:val="00A52DEF"/>
    <w:rsid w:val="00A54F7C"/>
    <w:rsid w:val="00A556D5"/>
    <w:rsid w:val="00A55EAA"/>
    <w:rsid w:val="00A64423"/>
    <w:rsid w:val="00A651D4"/>
    <w:rsid w:val="00A65BE7"/>
    <w:rsid w:val="00A7612E"/>
    <w:rsid w:val="00A77A87"/>
    <w:rsid w:val="00A9596C"/>
    <w:rsid w:val="00AA1C66"/>
    <w:rsid w:val="00AA22B2"/>
    <w:rsid w:val="00AB4FBD"/>
    <w:rsid w:val="00AC6056"/>
    <w:rsid w:val="00AC68AC"/>
    <w:rsid w:val="00AD3172"/>
    <w:rsid w:val="00AE583F"/>
    <w:rsid w:val="00AE60F2"/>
    <w:rsid w:val="00AF558D"/>
    <w:rsid w:val="00B02A40"/>
    <w:rsid w:val="00B02F2F"/>
    <w:rsid w:val="00B03CFD"/>
    <w:rsid w:val="00B06C9F"/>
    <w:rsid w:val="00B075A9"/>
    <w:rsid w:val="00B17946"/>
    <w:rsid w:val="00B2351F"/>
    <w:rsid w:val="00B23F98"/>
    <w:rsid w:val="00B2459A"/>
    <w:rsid w:val="00B30DEA"/>
    <w:rsid w:val="00B31A1D"/>
    <w:rsid w:val="00B31FE0"/>
    <w:rsid w:val="00B344CB"/>
    <w:rsid w:val="00B44275"/>
    <w:rsid w:val="00B458F1"/>
    <w:rsid w:val="00B50220"/>
    <w:rsid w:val="00B51E2A"/>
    <w:rsid w:val="00B53A7D"/>
    <w:rsid w:val="00B57EC9"/>
    <w:rsid w:val="00B6194D"/>
    <w:rsid w:val="00B668AC"/>
    <w:rsid w:val="00B67C0E"/>
    <w:rsid w:val="00B67E2D"/>
    <w:rsid w:val="00B707D2"/>
    <w:rsid w:val="00B74791"/>
    <w:rsid w:val="00B76C2E"/>
    <w:rsid w:val="00B82CDD"/>
    <w:rsid w:val="00B83CD3"/>
    <w:rsid w:val="00B85645"/>
    <w:rsid w:val="00B85F70"/>
    <w:rsid w:val="00B92899"/>
    <w:rsid w:val="00B94A69"/>
    <w:rsid w:val="00B95679"/>
    <w:rsid w:val="00B96582"/>
    <w:rsid w:val="00B969C0"/>
    <w:rsid w:val="00BA136D"/>
    <w:rsid w:val="00BA2767"/>
    <w:rsid w:val="00BA3193"/>
    <w:rsid w:val="00BA4426"/>
    <w:rsid w:val="00BA4605"/>
    <w:rsid w:val="00BA62AC"/>
    <w:rsid w:val="00BA6575"/>
    <w:rsid w:val="00BB1749"/>
    <w:rsid w:val="00BB26D3"/>
    <w:rsid w:val="00BB4CE3"/>
    <w:rsid w:val="00BB5A59"/>
    <w:rsid w:val="00BC0042"/>
    <w:rsid w:val="00BC0586"/>
    <w:rsid w:val="00BC0894"/>
    <w:rsid w:val="00BC3CBC"/>
    <w:rsid w:val="00BC51E7"/>
    <w:rsid w:val="00BC73B6"/>
    <w:rsid w:val="00BD2C3C"/>
    <w:rsid w:val="00BE402D"/>
    <w:rsid w:val="00BE5887"/>
    <w:rsid w:val="00BE7A51"/>
    <w:rsid w:val="00BF1111"/>
    <w:rsid w:val="00C01899"/>
    <w:rsid w:val="00C03B16"/>
    <w:rsid w:val="00C05E35"/>
    <w:rsid w:val="00C15207"/>
    <w:rsid w:val="00C16C56"/>
    <w:rsid w:val="00C23210"/>
    <w:rsid w:val="00C2625E"/>
    <w:rsid w:val="00C328E5"/>
    <w:rsid w:val="00C33419"/>
    <w:rsid w:val="00C41513"/>
    <w:rsid w:val="00C46DE9"/>
    <w:rsid w:val="00C5288B"/>
    <w:rsid w:val="00C56877"/>
    <w:rsid w:val="00C572BB"/>
    <w:rsid w:val="00C62699"/>
    <w:rsid w:val="00C633F7"/>
    <w:rsid w:val="00C73F42"/>
    <w:rsid w:val="00C745DA"/>
    <w:rsid w:val="00C74D41"/>
    <w:rsid w:val="00C7516D"/>
    <w:rsid w:val="00C75202"/>
    <w:rsid w:val="00C85485"/>
    <w:rsid w:val="00C87005"/>
    <w:rsid w:val="00C90386"/>
    <w:rsid w:val="00C93FC3"/>
    <w:rsid w:val="00C9442C"/>
    <w:rsid w:val="00C950CC"/>
    <w:rsid w:val="00CA7CB8"/>
    <w:rsid w:val="00CB2B34"/>
    <w:rsid w:val="00CB5FC5"/>
    <w:rsid w:val="00CC23A1"/>
    <w:rsid w:val="00CC7475"/>
    <w:rsid w:val="00CD4176"/>
    <w:rsid w:val="00CD420F"/>
    <w:rsid w:val="00CD74CE"/>
    <w:rsid w:val="00CD7C0E"/>
    <w:rsid w:val="00CE01E8"/>
    <w:rsid w:val="00CE346F"/>
    <w:rsid w:val="00CE7E2F"/>
    <w:rsid w:val="00CF0FA8"/>
    <w:rsid w:val="00CF4CA7"/>
    <w:rsid w:val="00CF6379"/>
    <w:rsid w:val="00D00087"/>
    <w:rsid w:val="00D0140E"/>
    <w:rsid w:val="00D019AF"/>
    <w:rsid w:val="00D07752"/>
    <w:rsid w:val="00D101E1"/>
    <w:rsid w:val="00D10E6C"/>
    <w:rsid w:val="00D2127E"/>
    <w:rsid w:val="00D242AF"/>
    <w:rsid w:val="00D26666"/>
    <w:rsid w:val="00D31A90"/>
    <w:rsid w:val="00D346A7"/>
    <w:rsid w:val="00D43723"/>
    <w:rsid w:val="00D43A1D"/>
    <w:rsid w:val="00D47DBC"/>
    <w:rsid w:val="00D50B0D"/>
    <w:rsid w:val="00D538BE"/>
    <w:rsid w:val="00D54C0B"/>
    <w:rsid w:val="00D555F7"/>
    <w:rsid w:val="00D56862"/>
    <w:rsid w:val="00D56B91"/>
    <w:rsid w:val="00D579B9"/>
    <w:rsid w:val="00D61E6A"/>
    <w:rsid w:val="00D6742E"/>
    <w:rsid w:val="00D77074"/>
    <w:rsid w:val="00D83AED"/>
    <w:rsid w:val="00D83C35"/>
    <w:rsid w:val="00D8490B"/>
    <w:rsid w:val="00D87505"/>
    <w:rsid w:val="00D90263"/>
    <w:rsid w:val="00D9505C"/>
    <w:rsid w:val="00D962F5"/>
    <w:rsid w:val="00D9759C"/>
    <w:rsid w:val="00D9781A"/>
    <w:rsid w:val="00DA1391"/>
    <w:rsid w:val="00DA4619"/>
    <w:rsid w:val="00DA6A2E"/>
    <w:rsid w:val="00DA6BDA"/>
    <w:rsid w:val="00DB040C"/>
    <w:rsid w:val="00DB56E0"/>
    <w:rsid w:val="00DB6978"/>
    <w:rsid w:val="00DC06F5"/>
    <w:rsid w:val="00DC25EE"/>
    <w:rsid w:val="00DC7945"/>
    <w:rsid w:val="00DD26BA"/>
    <w:rsid w:val="00DD2953"/>
    <w:rsid w:val="00DD5125"/>
    <w:rsid w:val="00DD669C"/>
    <w:rsid w:val="00DD6D80"/>
    <w:rsid w:val="00DE10E4"/>
    <w:rsid w:val="00DE2BE7"/>
    <w:rsid w:val="00DE3F87"/>
    <w:rsid w:val="00DE6A0C"/>
    <w:rsid w:val="00DE6C40"/>
    <w:rsid w:val="00DE7402"/>
    <w:rsid w:val="00DF110B"/>
    <w:rsid w:val="00DF50C4"/>
    <w:rsid w:val="00DF51A7"/>
    <w:rsid w:val="00DF67B0"/>
    <w:rsid w:val="00E00FEC"/>
    <w:rsid w:val="00E01D02"/>
    <w:rsid w:val="00E0337B"/>
    <w:rsid w:val="00E044E3"/>
    <w:rsid w:val="00E07FE5"/>
    <w:rsid w:val="00E110B3"/>
    <w:rsid w:val="00E14AE4"/>
    <w:rsid w:val="00E15B05"/>
    <w:rsid w:val="00E1795B"/>
    <w:rsid w:val="00E30DF7"/>
    <w:rsid w:val="00E33BED"/>
    <w:rsid w:val="00E34733"/>
    <w:rsid w:val="00E34D63"/>
    <w:rsid w:val="00E368BE"/>
    <w:rsid w:val="00E40F9E"/>
    <w:rsid w:val="00E42E38"/>
    <w:rsid w:val="00E45BDD"/>
    <w:rsid w:val="00E55604"/>
    <w:rsid w:val="00E61A7E"/>
    <w:rsid w:val="00E631ED"/>
    <w:rsid w:val="00E67E13"/>
    <w:rsid w:val="00E709E6"/>
    <w:rsid w:val="00E72062"/>
    <w:rsid w:val="00E722CB"/>
    <w:rsid w:val="00E76CDA"/>
    <w:rsid w:val="00E77462"/>
    <w:rsid w:val="00E778F3"/>
    <w:rsid w:val="00E8156D"/>
    <w:rsid w:val="00E865E3"/>
    <w:rsid w:val="00E8662E"/>
    <w:rsid w:val="00E90665"/>
    <w:rsid w:val="00E90E96"/>
    <w:rsid w:val="00E9663A"/>
    <w:rsid w:val="00E96AE9"/>
    <w:rsid w:val="00EA1846"/>
    <w:rsid w:val="00EA3D71"/>
    <w:rsid w:val="00EA4BA3"/>
    <w:rsid w:val="00EB104C"/>
    <w:rsid w:val="00EB1AF0"/>
    <w:rsid w:val="00EB450A"/>
    <w:rsid w:val="00EB48D0"/>
    <w:rsid w:val="00EC17B9"/>
    <w:rsid w:val="00ED058E"/>
    <w:rsid w:val="00ED290D"/>
    <w:rsid w:val="00ED2D0D"/>
    <w:rsid w:val="00ED3326"/>
    <w:rsid w:val="00ED38A7"/>
    <w:rsid w:val="00ED7BB8"/>
    <w:rsid w:val="00EE2F1A"/>
    <w:rsid w:val="00EE32F5"/>
    <w:rsid w:val="00EE35A3"/>
    <w:rsid w:val="00EE39FC"/>
    <w:rsid w:val="00EE427C"/>
    <w:rsid w:val="00EF2172"/>
    <w:rsid w:val="00EF4A32"/>
    <w:rsid w:val="00EF4CC0"/>
    <w:rsid w:val="00EF4DB1"/>
    <w:rsid w:val="00EF6ED0"/>
    <w:rsid w:val="00EF794F"/>
    <w:rsid w:val="00F00536"/>
    <w:rsid w:val="00F01454"/>
    <w:rsid w:val="00F130B4"/>
    <w:rsid w:val="00F15D7B"/>
    <w:rsid w:val="00F20487"/>
    <w:rsid w:val="00F22927"/>
    <w:rsid w:val="00F24771"/>
    <w:rsid w:val="00F27E15"/>
    <w:rsid w:val="00F317DE"/>
    <w:rsid w:val="00F34F4E"/>
    <w:rsid w:val="00F35B5A"/>
    <w:rsid w:val="00F35DE9"/>
    <w:rsid w:val="00F4051F"/>
    <w:rsid w:val="00F43807"/>
    <w:rsid w:val="00F43B08"/>
    <w:rsid w:val="00F45D8D"/>
    <w:rsid w:val="00F46FB5"/>
    <w:rsid w:val="00F501A2"/>
    <w:rsid w:val="00F560CA"/>
    <w:rsid w:val="00F6024B"/>
    <w:rsid w:val="00F60597"/>
    <w:rsid w:val="00F66506"/>
    <w:rsid w:val="00F71B45"/>
    <w:rsid w:val="00F7238C"/>
    <w:rsid w:val="00F7359A"/>
    <w:rsid w:val="00F76DD5"/>
    <w:rsid w:val="00F83D25"/>
    <w:rsid w:val="00F858E6"/>
    <w:rsid w:val="00F86033"/>
    <w:rsid w:val="00F946DF"/>
    <w:rsid w:val="00F9593B"/>
    <w:rsid w:val="00F95D90"/>
    <w:rsid w:val="00FA3FFF"/>
    <w:rsid w:val="00FB0FC8"/>
    <w:rsid w:val="00FB2668"/>
    <w:rsid w:val="00FC2561"/>
    <w:rsid w:val="00FC32AA"/>
    <w:rsid w:val="00FC3585"/>
    <w:rsid w:val="00FC4B08"/>
    <w:rsid w:val="00FC53C8"/>
    <w:rsid w:val="00FC5B57"/>
    <w:rsid w:val="00FC7674"/>
    <w:rsid w:val="00FC76C7"/>
    <w:rsid w:val="00FC7B9C"/>
    <w:rsid w:val="00FD0384"/>
    <w:rsid w:val="00FD24CB"/>
    <w:rsid w:val="00FD2A40"/>
    <w:rsid w:val="00FD4214"/>
    <w:rsid w:val="00FE0EB3"/>
    <w:rsid w:val="00FE1BBF"/>
    <w:rsid w:val="00FE4C52"/>
    <w:rsid w:val="00FE5507"/>
    <w:rsid w:val="00FE5B0B"/>
    <w:rsid w:val="00FE62FB"/>
    <w:rsid w:val="00FF60C0"/>
    <w:rsid w:val="00FF6B0A"/>
    <w:rsid w:val="00FF75B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5258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iPriority="0" w:unhideWhenUsed="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2605"/>
    <w:pPr>
      <w:widowControl w:val="0"/>
      <w:spacing w:before="60" w:after="60"/>
      <w:ind w:firstLine="284"/>
      <w:jc w:val="both"/>
    </w:pPr>
    <w:rPr>
      <w:sz w:val="20"/>
      <w:szCs w:val="20"/>
    </w:rPr>
  </w:style>
  <w:style w:type="paragraph" w:styleId="Heading1">
    <w:name w:val="heading 1"/>
    <w:basedOn w:val="Normal"/>
    <w:next w:val="Normal"/>
    <w:link w:val="Heading1Char"/>
    <w:uiPriority w:val="99"/>
    <w:qFormat/>
    <w:rsid w:val="00DE7402"/>
    <w:pPr>
      <w:numPr>
        <w:numId w:val="2"/>
      </w:numPr>
      <w:ind w:firstLine="0"/>
      <w:outlineLvl w:val="0"/>
    </w:pPr>
    <w:rPr>
      <w:b/>
      <w:bCs/>
    </w:rPr>
  </w:style>
  <w:style w:type="paragraph" w:styleId="Heading2">
    <w:name w:val="heading 2"/>
    <w:basedOn w:val="Normal"/>
    <w:next w:val="Normal"/>
    <w:link w:val="Heading2Char"/>
    <w:uiPriority w:val="99"/>
    <w:qFormat/>
    <w:rsid w:val="00DE7402"/>
    <w:pPr>
      <w:numPr>
        <w:ilvl w:val="1"/>
        <w:numId w:val="2"/>
      </w:numPr>
      <w:ind w:firstLine="0"/>
      <w:outlineLvl w:val="1"/>
    </w:pPr>
    <w:rPr>
      <w:b/>
      <w:bCs/>
      <w:i/>
      <w:iCs/>
    </w:rPr>
  </w:style>
  <w:style w:type="paragraph" w:styleId="Heading3">
    <w:name w:val="heading 3"/>
    <w:basedOn w:val="Normal"/>
    <w:next w:val="Normal"/>
    <w:link w:val="Heading3Char"/>
    <w:uiPriority w:val="99"/>
    <w:qFormat/>
    <w:rsid w:val="00617E71"/>
    <w:pPr>
      <w:numPr>
        <w:ilvl w:val="2"/>
        <w:numId w:val="2"/>
      </w:numPr>
      <w:ind w:firstLine="0"/>
      <w:outlineLvl w:val="2"/>
    </w:pPr>
    <w:rPr>
      <w:i/>
      <w:iCs/>
    </w:rPr>
  </w:style>
  <w:style w:type="paragraph" w:styleId="Heading4">
    <w:name w:val="heading 4"/>
    <w:basedOn w:val="Normal"/>
    <w:next w:val="Normal"/>
    <w:link w:val="Heading4Char"/>
    <w:uiPriority w:val="99"/>
    <w:qFormat/>
    <w:rsid w:val="002154FD"/>
    <w:pPr>
      <w:numPr>
        <w:ilvl w:val="3"/>
        <w:numId w:val="2"/>
      </w:numPr>
      <w:ind w:firstLine="0"/>
      <w:outlineLvl w:val="3"/>
    </w:pPr>
    <w:rPr>
      <w:b/>
      <w:bCs/>
    </w:rPr>
  </w:style>
  <w:style w:type="paragraph" w:styleId="Heading5">
    <w:name w:val="heading 5"/>
    <w:basedOn w:val="Normal"/>
    <w:next w:val="Normal"/>
    <w:link w:val="Heading5Char"/>
    <w:uiPriority w:val="99"/>
    <w:qFormat/>
    <w:rsid w:val="00FE1BBF"/>
    <w:pPr>
      <w:numPr>
        <w:ilvl w:val="4"/>
        <w:numId w:val="2"/>
      </w:numPr>
      <w:spacing w:before="240"/>
      <w:ind w:firstLine="0"/>
      <w:outlineLvl w:val="4"/>
    </w:pPr>
    <w:rPr>
      <w:rFonts w:ascii="VNtimes New Roman" w:hAnsi="VNtimes New Roman" w:cs="VNtimes New Roman"/>
      <w:sz w:val="26"/>
      <w:szCs w:val="26"/>
    </w:rPr>
  </w:style>
  <w:style w:type="paragraph" w:styleId="Heading6">
    <w:name w:val="heading 6"/>
    <w:basedOn w:val="Normal"/>
    <w:next w:val="Normal"/>
    <w:link w:val="Heading6Char"/>
    <w:uiPriority w:val="99"/>
    <w:qFormat/>
    <w:rsid w:val="00B6194D"/>
    <w:pPr>
      <w:numPr>
        <w:ilvl w:val="5"/>
        <w:numId w:val="2"/>
      </w:numPr>
      <w:spacing w:before="240"/>
      <w:ind w:firstLine="0"/>
      <w:outlineLvl w:val="5"/>
    </w:pPr>
    <w:rPr>
      <w:rFonts w:ascii="Calibri" w:hAnsi="Calibri" w:cs="Calibri"/>
      <w:b/>
      <w:bCs/>
      <w:sz w:val="24"/>
      <w:szCs w:val="24"/>
    </w:rPr>
  </w:style>
  <w:style w:type="paragraph" w:styleId="Heading7">
    <w:name w:val="heading 7"/>
    <w:basedOn w:val="Normal"/>
    <w:next w:val="Normal"/>
    <w:link w:val="Heading7Char"/>
    <w:uiPriority w:val="99"/>
    <w:qFormat/>
    <w:rsid w:val="00FE1BBF"/>
    <w:pPr>
      <w:keepNext/>
      <w:numPr>
        <w:ilvl w:val="6"/>
        <w:numId w:val="2"/>
      </w:numPr>
      <w:ind w:firstLine="0"/>
      <w:jc w:val="center"/>
      <w:outlineLvl w:val="6"/>
    </w:pPr>
    <w:rPr>
      <w:rFonts w:ascii="VNtimes New Roman" w:hAnsi="VNtimes New Roman" w:cs="VNtimes New Roman"/>
      <w:b/>
      <w:bCs/>
      <w:sz w:val="26"/>
      <w:szCs w:val="26"/>
    </w:rPr>
  </w:style>
  <w:style w:type="paragraph" w:styleId="Heading8">
    <w:name w:val="heading 8"/>
    <w:basedOn w:val="Normal"/>
    <w:next w:val="Normal"/>
    <w:link w:val="Heading8Char"/>
    <w:uiPriority w:val="99"/>
    <w:qFormat/>
    <w:rsid w:val="00FE1BBF"/>
    <w:pPr>
      <w:keepNext/>
      <w:numPr>
        <w:ilvl w:val="7"/>
        <w:numId w:val="2"/>
      </w:numPr>
      <w:ind w:firstLine="0"/>
      <w:jc w:val="center"/>
      <w:outlineLvl w:val="7"/>
    </w:pPr>
    <w:rPr>
      <w:rFonts w:ascii=".VnTime" w:hAnsi=".VnTime" w:cs=".VnTime"/>
      <w:b/>
      <w:bCs/>
      <w:sz w:val="24"/>
      <w:szCs w:val="24"/>
    </w:rPr>
  </w:style>
  <w:style w:type="paragraph" w:styleId="Heading9">
    <w:name w:val="heading 9"/>
    <w:basedOn w:val="Normal"/>
    <w:next w:val="Normal"/>
    <w:link w:val="Heading9Char"/>
    <w:uiPriority w:val="99"/>
    <w:qFormat/>
    <w:rsid w:val="00B6194D"/>
    <w:pPr>
      <w:numPr>
        <w:ilvl w:val="8"/>
        <w:numId w:val="2"/>
      </w:numPr>
      <w:spacing w:before="240"/>
      <w:ind w:firstLine="0"/>
      <w:outlineLvl w:val="8"/>
    </w:pPr>
    <w:rPr>
      <w:rFonts w:ascii="Cambria" w:hAnsi="Cambria" w:cs="Cambr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65DB"/>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9"/>
    <w:locked/>
    <w:rsid w:val="00DE7402"/>
    <w:rPr>
      <w:rFonts w:ascii="Times New Roman" w:hAnsi="Times New Roman" w:cs="Times New Roman"/>
      <w:b/>
      <w:bCs/>
      <w:i/>
      <w:iCs/>
      <w:sz w:val="28"/>
      <w:szCs w:val="28"/>
    </w:rPr>
  </w:style>
  <w:style w:type="character" w:customStyle="1" w:styleId="Heading3Char">
    <w:name w:val="Heading 3 Char"/>
    <w:basedOn w:val="DefaultParagraphFont"/>
    <w:link w:val="Heading3"/>
    <w:uiPriority w:val="9"/>
    <w:semiHidden/>
    <w:rsid w:val="00C165DB"/>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C165DB"/>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C165DB"/>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9"/>
    <w:locked/>
    <w:rsid w:val="00B6194D"/>
    <w:rPr>
      <w:rFonts w:ascii="Calibri" w:hAnsi="Calibri" w:cs="Calibri"/>
      <w:b/>
      <w:bCs/>
      <w:sz w:val="22"/>
      <w:szCs w:val="22"/>
    </w:rPr>
  </w:style>
  <w:style w:type="character" w:customStyle="1" w:styleId="Heading7Char">
    <w:name w:val="Heading 7 Char"/>
    <w:basedOn w:val="DefaultParagraphFont"/>
    <w:link w:val="Heading7"/>
    <w:uiPriority w:val="9"/>
    <w:semiHidden/>
    <w:rsid w:val="00C165DB"/>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C165DB"/>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9"/>
    <w:locked/>
    <w:rsid w:val="00B6194D"/>
    <w:rPr>
      <w:rFonts w:ascii="Cambria" w:hAnsi="Cambria" w:cs="Cambria"/>
      <w:sz w:val="22"/>
      <w:szCs w:val="22"/>
    </w:rPr>
  </w:style>
  <w:style w:type="paragraph" w:styleId="ListParagraph">
    <w:name w:val="List Paragraph"/>
    <w:basedOn w:val="Normal"/>
    <w:uiPriority w:val="99"/>
    <w:qFormat/>
    <w:rsid w:val="00C5288B"/>
    <w:pPr>
      <w:ind w:left="720"/>
    </w:pPr>
  </w:style>
  <w:style w:type="paragraph" w:styleId="Header">
    <w:name w:val="header"/>
    <w:basedOn w:val="Normal"/>
    <w:link w:val="HeaderChar"/>
    <w:uiPriority w:val="99"/>
    <w:rsid w:val="003F4592"/>
    <w:pPr>
      <w:tabs>
        <w:tab w:val="right" w:pos="9639"/>
      </w:tabs>
    </w:pPr>
    <w:rPr>
      <w:rFonts w:ascii="Arial" w:hAnsi="Arial" w:cs="Arial"/>
      <w:sz w:val="16"/>
      <w:szCs w:val="16"/>
    </w:rPr>
  </w:style>
  <w:style w:type="character" w:customStyle="1" w:styleId="HeaderChar">
    <w:name w:val="Header Char"/>
    <w:basedOn w:val="DefaultParagraphFont"/>
    <w:link w:val="Header"/>
    <w:uiPriority w:val="99"/>
    <w:locked/>
    <w:rsid w:val="003F4592"/>
    <w:rPr>
      <w:rFonts w:ascii="Arial" w:hAnsi="Arial" w:cs="Arial"/>
      <w:sz w:val="16"/>
      <w:szCs w:val="16"/>
    </w:rPr>
  </w:style>
  <w:style w:type="paragraph" w:styleId="Footer">
    <w:name w:val="footer"/>
    <w:basedOn w:val="Normal"/>
    <w:link w:val="FooterChar"/>
    <w:uiPriority w:val="99"/>
    <w:rsid w:val="00DA6BDA"/>
    <w:pPr>
      <w:tabs>
        <w:tab w:val="center" w:pos="4320"/>
        <w:tab w:val="right" w:pos="8640"/>
      </w:tabs>
    </w:pPr>
    <w:rPr>
      <w:rFonts w:ascii="Arial" w:hAnsi="Arial" w:cs="Arial"/>
    </w:rPr>
  </w:style>
  <w:style w:type="character" w:customStyle="1" w:styleId="FooterChar">
    <w:name w:val="Footer Char"/>
    <w:basedOn w:val="DefaultParagraphFont"/>
    <w:link w:val="Footer"/>
    <w:uiPriority w:val="99"/>
    <w:semiHidden/>
    <w:rsid w:val="00C165DB"/>
    <w:rPr>
      <w:sz w:val="20"/>
      <w:szCs w:val="20"/>
    </w:rPr>
  </w:style>
  <w:style w:type="character" w:styleId="PageNumber">
    <w:name w:val="page number"/>
    <w:basedOn w:val="DefaultParagraphFont"/>
    <w:uiPriority w:val="99"/>
    <w:rsid w:val="00FE1BBF"/>
  </w:style>
  <w:style w:type="paragraph" w:styleId="Caption">
    <w:name w:val="caption"/>
    <w:basedOn w:val="Normal"/>
    <w:next w:val="Normal"/>
    <w:uiPriority w:val="99"/>
    <w:qFormat/>
    <w:rsid w:val="00133F6B"/>
    <w:pPr>
      <w:jc w:val="center"/>
    </w:pPr>
    <w:rPr>
      <w:i/>
      <w:iCs/>
      <w:sz w:val="18"/>
      <w:szCs w:val="18"/>
    </w:rPr>
  </w:style>
  <w:style w:type="paragraph" w:customStyle="1" w:styleId="01TiubiboVietnam">
    <w:name w:val="@01 Tiêu đề bài báo (Vietnam)"/>
    <w:basedOn w:val="Normal"/>
    <w:next w:val="Normal"/>
    <w:uiPriority w:val="99"/>
    <w:rsid w:val="006928B5"/>
    <w:pPr>
      <w:spacing w:before="240" w:after="120"/>
      <w:jc w:val="center"/>
    </w:pPr>
    <w:rPr>
      <w:b/>
      <w:bCs/>
      <w:caps/>
      <w:sz w:val="26"/>
      <w:szCs w:val="26"/>
    </w:rPr>
  </w:style>
  <w:style w:type="paragraph" w:customStyle="1" w:styleId="02TiubiboEnglish">
    <w:name w:val="@02 Tiêu đề bài báo (English)"/>
    <w:basedOn w:val="Normal"/>
    <w:next w:val="Normal"/>
    <w:uiPriority w:val="99"/>
    <w:rsid w:val="006928B5"/>
    <w:pPr>
      <w:spacing w:before="120" w:after="240"/>
      <w:jc w:val="center"/>
    </w:pPr>
    <w:rPr>
      <w:caps/>
      <w:sz w:val="24"/>
      <w:szCs w:val="24"/>
    </w:rPr>
  </w:style>
  <w:style w:type="paragraph" w:customStyle="1" w:styleId="03Tntcgibibo">
    <w:name w:val="@03 Tên tác giả bài báo"/>
    <w:basedOn w:val="Normal"/>
    <w:next w:val="04nvcngtccatcgi"/>
    <w:uiPriority w:val="99"/>
    <w:rsid w:val="006928B5"/>
    <w:pPr>
      <w:jc w:val="center"/>
    </w:pPr>
    <w:rPr>
      <w:b/>
      <w:bCs/>
      <w:i/>
      <w:iCs/>
    </w:rPr>
  </w:style>
  <w:style w:type="paragraph" w:customStyle="1" w:styleId="04nvcngtccatcgi">
    <w:name w:val="@04 Đơn vị công tác của tác giả"/>
    <w:basedOn w:val="Normal"/>
    <w:next w:val="Normal"/>
    <w:uiPriority w:val="99"/>
    <w:rsid w:val="002D26E5"/>
    <w:pPr>
      <w:spacing w:before="0" w:after="0"/>
      <w:jc w:val="center"/>
    </w:pPr>
    <w:rPr>
      <w:i/>
      <w:iCs/>
    </w:rPr>
  </w:style>
  <w:style w:type="paragraph" w:customStyle="1" w:styleId="05Tmtt-Abstract">
    <w:name w:val="@05 Tóm tắt - Abstract"/>
    <w:basedOn w:val="Normal"/>
    <w:next w:val="Normal"/>
    <w:link w:val="05Tmtt-AbstractChar"/>
    <w:uiPriority w:val="99"/>
    <w:rsid w:val="00E14AE4"/>
    <w:pPr>
      <w:tabs>
        <w:tab w:val="left" w:pos="284"/>
      </w:tabs>
    </w:pPr>
    <w:rPr>
      <w:rFonts w:ascii="Arial" w:hAnsi="Arial" w:cs="Arial"/>
      <w:sz w:val="16"/>
      <w:szCs w:val="16"/>
    </w:rPr>
  </w:style>
  <w:style w:type="paragraph" w:customStyle="1" w:styleId="11TiliuthamkhoTiu">
    <w:name w:val="@11 Tài liệu tham khảo (Tiêu đề)"/>
    <w:basedOn w:val="Normal"/>
    <w:next w:val="Normal"/>
    <w:uiPriority w:val="99"/>
    <w:rsid w:val="0011467B"/>
    <w:pPr>
      <w:jc w:val="center"/>
    </w:pPr>
    <w:rPr>
      <w:b/>
      <w:bCs/>
    </w:rPr>
  </w:style>
  <w:style w:type="table" w:styleId="TableGrid">
    <w:name w:val="Table Grid"/>
    <w:basedOn w:val="TableNormal"/>
    <w:uiPriority w:val="99"/>
    <w:rsid w:val="00587D8F"/>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paragraph" w:customStyle="1" w:styleId="10TiliuthamkhoNidung">
    <w:name w:val="@10 Tài liệu tham khảo (Nội dung)"/>
    <w:basedOn w:val="Normal"/>
    <w:next w:val="Normal"/>
    <w:uiPriority w:val="99"/>
    <w:rsid w:val="0011467B"/>
    <w:pPr>
      <w:numPr>
        <w:ilvl w:val="8"/>
        <w:numId w:val="1"/>
      </w:numPr>
      <w:spacing w:before="0" w:after="0"/>
      <w:ind w:left="284" w:hanging="284"/>
      <w:outlineLvl w:val="1"/>
    </w:pPr>
    <w:rPr>
      <w:sz w:val="16"/>
      <w:szCs w:val="16"/>
    </w:rPr>
  </w:style>
  <w:style w:type="paragraph" w:styleId="Title">
    <w:name w:val="Title"/>
    <w:basedOn w:val="Normal"/>
    <w:link w:val="TitleChar"/>
    <w:uiPriority w:val="99"/>
    <w:qFormat/>
    <w:rsid w:val="00F01454"/>
    <w:pPr>
      <w:jc w:val="center"/>
    </w:pPr>
    <w:rPr>
      <w:b/>
      <w:bCs/>
      <w:sz w:val="28"/>
      <w:szCs w:val="28"/>
    </w:rPr>
  </w:style>
  <w:style w:type="character" w:customStyle="1" w:styleId="TitleChar">
    <w:name w:val="Title Char"/>
    <w:basedOn w:val="DefaultParagraphFont"/>
    <w:link w:val="Title"/>
    <w:uiPriority w:val="99"/>
    <w:locked/>
    <w:rsid w:val="00F01454"/>
    <w:rPr>
      <w:b/>
      <w:bCs/>
      <w:sz w:val="28"/>
      <w:szCs w:val="28"/>
    </w:rPr>
  </w:style>
  <w:style w:type="character" w:customStyle="1" w:styleId="05Tmtt-AbstractChar">
    <w:name w:val="@05 Tóm tắt - Abstract Char"/>
    <w:link w:val="05Tmtt-Abstract"/>
    <w:uiPriority w:val="99"/>
    <w:locked/>
    <w:rsid w:val="00E14AE4"/>
    <w:rPr>
      <w:rFonts w:ascii="Arial" w:hAnsi="Arial" w:cs="Arial"/>
      <w:sz w:val="28"/>
      <w:szCs w:val="28"/>
    </w:rPr>
  </w:style>
  <w:style w:type="paragraph" w:styleId="BalloonText">
    <w:name w:val="Balloon Text"/>
    <w:basedOn w:val="Normal"/>
    <w:link w:val="BalloonTextChar"/>
    <w:uiPriority w:val="99"/>
    <w:semiHidden/>
    <w:rsid w:val="00BA4605"/>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locked/>
    <w:rsid w:val="00BA4605"/>
    <w:rPr>
      <w:rFonts w:ascii="Segoe UI" w:hAnsi="Segoe UI" w:cs="Segoe UI"/>
      <w:sz w:val="18"/>
      <w:szCs w:val="18"/>
      <w:lang w:eastAsia="en-US"/>
    </w:rPr>
  </w:style>
  <w:style w:type="paragraph" w:customStyle="1" w:styleId="Heading1I">
    <w:name w:val="Heading 1 I."/>
    <w:basedOn w:val="Heading1"/>
    <w:next w:val="Normal"/>
    <w:uiPriority w:val="99"/>
    <w:rsid w:val="007E1738"/>
    <w:pPr>
      <w:keepNext/>
      <w:widowControl/>
      <w:numPr>
        <w:numId w:val="0"/>
      </w:numPr>
      <w:spacing w:before="240"/>
      <w:jc w:val="left"/>
    </w:pPr>
    <w:rPr>
      <w:rFonts w:eastAsia="SimSun"/>
      <w:kern w:val="32"/>
      <w:sz w:val="24"/>
      <w:szCs w:val="24"/>
      <w:lang w:eastAsia="zh-CN"/>
    </w:rPr>
  </w:style>
  <w:style w:type="paragraph" w:customStyle="1" w:styleId="StyleStyle12ptCharLinespacing15lines">
    <w:name w:val="Style Style 12 pt Char + Line spacing:  1.5 lines"/>
    <w:basedOn w:val="Normal"/>
    <w:uiPriority w:val="99"/>
    <w:rsid w:val="007E1738"/>
    <w:pPr>
      <w:widowControl/>
      <w:spacing w:before="0" w:after="0" w:line="312" w:lineRule="auto"/>
      <w:ind w:firstLine="289"/>
    </w:pPr>
    <w:rPr>
      <w:rFonts w:eastAsia="SimSun"/>
      <w:sz w:val="24"/>
      <w:szCs w:val="24"/>
      <w:lang w:eastAsia="zh-CN"/>
    </w:rPr>
  </w:style>
  <w:style w:type="paragraph" w:styleId="FootnoteText">
    <w:name w:val="footnote text"/>
    <w:basedOn w:val="Normal"/>
    <w:link w:val="FootnoteTextChar"/>
    <w:uiPriority w:val="99"/>
    <w:semiHidden/>
    <w:rsid w:val="00EF4DB1"/>
    <w:pPr>
      <w:spacing w:before="0" w:after="0"/>
    </w:pPr>
  </w:style>
  <w:style w:type="character" w:customStyle="1" w:styleId="FootnoteTextChar">
    <w:name w:val="Footnote Text Char"/>
    <w:basedOn w:val="DefaultParagraphFont"/>
    <w:link w:val="FootnoteText"/>
    <w:uiPriority w:val="99"/>
    <w:locked/>
    <w:rsid w:val="00EF4DB1"/>
    <w:rPr>
      <w:lang w:eastAsia="en-US"/>
    </w:rPr>
  </w:style>
  <w:style w:type="character" w:styleId="FootnoteReference">
    <w:name w:val="footnote reference"/>
    <w:basedOn w:val="DefaultParagraphFont"/>
    <w:uiPriority w:val="99"/>
    <w:semiHidden/>
    <w:rsid w:val="00EF4DB1"/>
    <w:rPr>
      <w:vertAlign w:val="superscript"/>
    </w:rPr>
  </w:style>
  <w:style w:type="paragraph" w:customStyle="1" w:styleId="Reference">
    <w:name w:val="Reference"/>
    <w:basedOn w:val="Normal"/>
    <w:uiPriority w:val="99"/>
    <w:rsid w:val="006F6CE9"/>
    <w:pPr>
      <w:widowControl/>
      <w:autoSpaceDE w:val="0"/>
      <w:autoSpaceDN w:val="0"/>
      <w:adjustRightInd w:val="0"/>
      <w:spacing w:before="0" w:after="0"/>
      <w:ind w:left="720" w:hanging="720"/>
    </w:pPr>
    <w:rPr>
      <w:rFonts w:eastAsia="SimSun"/>
      <w:sz w:val="24"/>
      <w:szCs w:val="24"/>
      <w:lang w:eastAsia="zh-CN"/>
    </w:rPr>
  </w:style>
  <w:style w:type="character" w:styleId="CommentReference">
    <w:name w:val="annotation reference"/>
    <w:basedOn w:val="DefaultParagraphFont"/>
    <w:uiPriority w:val="99"/>
    <w:semiHidden/>
    <w:unhideWhenUsed/>
    <w:rsid w:val="0093427A"/>
    <w:rPr>
      <w:sz w:val="16"/>
      <w:szCs w:val="16"/>
    </w:rPr>
  </w:style>
  <w:style w:type="paragraph" w:styleId="CommentText">
    <w:name w:val="annotation text"/>
    <w:basedOn w:val="Normal"/>
    <w:link w:val="CommentTextChar"/>
    <w:uiPriority w:val="99"/>
    <w:semiHidden/>
    <w:unhideWhenUsed/>
    <w:rsid w:val="0093427A"/>
  </w:style>
  <w:style w:type="character" w:customStyle="1" w:styleId="CommentTextChar">
    <w:name w:val="Comment Text Char"/>
    <w:basedOn w:val="DefaultParagraphFont"/>
    <w:link w:val="CommentText"/>
    <w:uiPriority w:val="99"/>
    <w:semiHidden/>
    <w:rsid w:val="0093427A"/>
    <w:rPr>
      <w:sz w:val="20"/>
      <w:szCs w:val="20"/>
    </w:rPr>
  </w:style>
  <w:style w:type="paragraph" w:styleId="CommentSubject">
    <w:name w:val="annotation subject"/>
    <w:basedOn w:val="CommentText"/>
    <w:next w:val="CommentText"/>
    <w:link w:val="CommentSubjectChar"/>
    <w:uiPriority w:val="99"/>
    <w:semiHidden/>
    <w:unhideWhenUsed/>
    <w:rsid w:val="0093427A"/>
    <w:rPr>
      <w:b/>
      <w:bCs/>
    </w:rPr>
  </w:style>
  <w:style w:type="character" w:customStyle="1" w:styleId="CommentSubjectChar">
    <w:name w:val="Comment Subject Char"/>
    <w:basedOn w:val="CommentTextChar"/>
    <w:link w:val="CommentSubject"/>
    <w:uiPriority w:val="99"/>
    <w:semiHidden/>
    <w:rsid w:val="0093427A"/>
    <w:rPr>
      <w:b/>
      <w:bCs/>
      <w:sz w:val="20"/>
      <w:szCs w:val="20"/>
    </w:rPr>
  </w:style>
  <w:style w:type="character" w:styleId="Emphasis">
    <w:name w:val="Emphasis"/>
    <w:basedOn w:val="DefaultParagraphFont"/>
    <w:qFormat/>
    <w:locked/>
    <w:rsid w:val="00A52DE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iPriority="0" w:unhideWhenUsed="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2605"/>
    <w:pPr>
      <w:widowControl w:val="0"/>
      <w:spacing w:before="60" w:after="60"/>
      <w:ind w:firstLine="284"/>
      <w:jc w:val="both"/>
    </w:pPr>
    <w:rPr>
      <w:sz w:val="20"/>
      <w:szCs w:val="20"/>
    </w:rPr>
  </w:style>
  <w:style w:type="paragraph" w:styleId="Heading1">
    <w:name w:val="heading 1"/>
    <w:basedOn w:val="Normal"/>
    <w:next w:val="Normal"/>
    <w:link w:val="Heading1Char"/>
    <w:uiPriority w:val="99"/>
    <w:qFormat/>
    <w:rsid w:val="00DE7402"/>
    <w:pPr>
      <w:numPr>
        <w:numId w:val="2"/>
      </w:numPr>
      <w:ind w:firstLine="0"/>
      <w:outlineLvl w:val="0"/>
    </w:pPr>
    <w:rPr>
      <w:b/>
      <w:bCs/>
    </w:rPr>
  </w:style>
  <w:style w:type="paragraph" w:styleId="Heading2">
    <w:name w:val="heading 2"/>
    <w:basedOn w:val="Normal"/>
    <w:next w:val="Normal"/>
    <w:link w:val="Heading2Char"/>
    <w:uiPriority w:val="99"/>
    <w:qFormat/>
    <w:rsid w:val="00DE7402"/>
    <w:pPr>
      <w:numPr>
        <w:ilvl w:val="1"/>
        <w:numId w:val="2"/>
      </w:numPr>
      <w:ind w:firstLine="0"/>
      <w:outlineLvl w:val="1"/>
    </w:pPr>
    <w:rPr>
      <w:b/>
      <w:bCs/>
      <w:i/>
      <w:iCs/>
    </w:rPr>
  </w:style>
  <w:style w:type="paragraph" w:styleId="Heading3">
    <w:name w:val="heading 3"/>
    <w:basedOn w:val="Normal"/>
    <w:next w:val="Normal"/>
    <w:link w:val="Heading3Char"/>
    <w:uiPriority w:val="99"/>
    <w:qFormat/>
    <w:rsid w:val="00617E71"/>
    <w:pPr>
      <w:numPr>
        <w:ilvl w:val="2"/>
        <w:numId w:val="2"/>
      </w:numPr>
      <w:ind w:firstLine="0"/>
      <w:outlineLvl w:val="2"/>
    </w:pPr>
    <w:rPr>
      <w:i/>
      <w:iCs/>
    </w:rPr>
  </w:style>
  <w:style w:type="paragraph" w:styleId="Heading4">
    <w:name w:val="heading 4"/>
    <w:basedOn w:val="Normal"/>
    <w:next w:val="Normal"/>
    <w:link w:val="Heading4Char"/>
    <w:uiPriority w:val="99"/>
    <w:qFormat/>
    <w:rsid w:val="002154FD"/>
    <w:pPr>
      <w:numPr>
        <w:ilvl w:val="3"/>
        <w:numId w:val="2"/>
      </w:numPr>
      <w:ind w:firstLine="0"/>
      <w:outlineLvl w:val="3"/>
    </w:pPr>
    <w:rPr>
      <w:b/>
      <w:bCs/>
    </w:rPr>
  </w:style>
  <w:style w:type="paragraph" w:styleId="Heading5">
    <w:name w:val="heading 5"/>
    <w:basedOn w:val="Normal"/>
    <w:next w:val="Normal"/>
    <w:link w:val="Heading5Char"/>
    <w:uiPriority w:val="99"/>
    <w:qFormat/>
    <w:rsid w:val="00FE1BBF"/>
    <w:pPr>
      <w:numPr>
        <w:ilvl w:val="4"/>
        <w:numId w:val="2"/>
      </w:numPr>
      <w:spacing w:before="240"/>
      <w:ind w:firstLine="0"/>
      <w:outlineLvl w:val="4"/>
    </w:pPr>
    <w:rPr>
      <w:rFonts w:ascii="VNtimes New Roman" w:hAnsi="VNtimes New Roman" w:cs="VNtimes New Roman"/>
      <w:sz w:val="26"/>
      <w:szCs w:val="26"/>
    </w:rPr>
  </w:style>
  <w:style w:type="paragraph" w:styleId="Heading6">
    <w:name w:val="heading 6"/>
    <w:basedOn w:val="Normal"/>
    <w:next w:val="Normal"/>
    <w:link w:val="Heading6Char"/>
    <w:uiPriority w:val="99"/>
    <w:qFormat/>
    <w:rsid w:val="00B6194D"/>
    <w:pPr>
      <w:numPr>
        <w:ilvl w:val="5"/>
        <w:numId w:val="2"/>
      </w:numPr>
      <w:spacing w:before="240"/>
      <w:ind w:firstLine="0"/>
      <w:outlineLvl w:val="5"/>
    </w:pPr>
    <w:rPr>
      <w:rFonts w:ascii="Calibri" w:hAnsi="Calibri" w:cs="Calibri"/>
      <w:b/>
      <w:bCs/>
      <w:sz w:val="24"/>
      <w:szCs w:val="24"/>
    </w:rPr>
  </w:style>
  <w:style w:type="paragraph" w:styleId="Heading7">
    <w:name w:val="heading 7"/>
    <w:basedOn w:val="Normal"/>
    <w:next w:val="Normal"/>
    <w:link w:val="Heading7Char"/>
    <w:uiPriority w:val="99"/>
    <w:qFormat/>
    <w:rsid w:val="00FE1BBF"/>
    <w:pPr>
      <w:keepNext/>
      <w:numPr>
        <w:ilvl w:val="6"/>
        <w:numId w:val="2"/>
      </w:numPr>
      <w:ind w:firstLine="0"/>
      <w:jc w:val="center"/>
      <w:outlineLvl w:val="6"/>
    </w:pPr>
    <w:rPr>
      <w:rFonts w:ascii="VNtimes New Roman" w:hAnsi="VNtimes New Roman" w:cs="VNtimes New Roman"/>
      <w:b/>
      <w:bCs/>
      <w:sz w:val="26"/>
      <w:szCs w:val="26"/>
    </w:rPr>
  </w:style>
  <w:style w:type="paragraph" w:styleId="Heading8">
    <w:name w:val="heading 8"/>
    <w:basedOn w:val="Normal"/>
    <w:next w:val="Normal"/>
    <w:link w:val="Heading8Char"/>
    <w:uiPriority w:val="99"/>
    <w:qFormat/>
    <w:rsid w:val="00FE1BBF"/>
    <w:pPr>
      <w:keepNext/>
      <w:numPr>
        <w:ilvl w:val="7"/>
        <w:numId w:val="2"/>
      </w:numPr>
      <w:ind w:firstLine="0"/>
      <w:jc w:val="center"/>
      <w:outlineLvl w:val="7"/>
    </w:pPr>
    <w:rPr>
      <w:rFonts w:ascii=".VnTime" w:hAnsi=".VnTime" w:cs=".VnTime"/>
      <w:b/>
      <w:bCs/>
      <w:sz w:val="24"/>
      <w:szCs w:val="24"/>
    </w:rPr>
  </w:style>
  <w:style w:type="paragraph" w:styleId="Heading9">
    <w:name w:val="heading 9"/>
    <w:basedOn w:val="Normal"/>
    <w:next w:val="Normal"/>
    <w:link w:val="Heading9Char"/>
    <w:uiPriority w:val="99"/>
    <w:qFormat/>
    <w:rsid w:val="00B6194D"/>
    <w:pPr>
      <w:numPr>
        <w:ilvl w:val="8"/>
        <w:numId w:val="2"/>
      </w:numPr>
      <w:spacing w:before="240"/>
      <w:ind w:firstLine="0"/>
      <w:outlineLvl w:val="8"/>
    </w:pPr>
    <w:rPr>
      <w:rFonts w:ascii="Cambria" w:hAnsi="Cambria" w:cs="Cambr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65DB"/>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9"/>
    <w:locked/>
    <w:rsid w:val="00DE7402"/>
    <w:rPr>
      <w:rFonts w:ascii="Times New Roman" w:hAnsi="Times New Roman" w:cs="Times New Roman"/>
      <w:b/>
      <w:bCs/>
      <w:i/>
      <w:iCs/>
      <w:sz w:val="28"/>
      <w:szCs w:val="28"/>
    </w:rPr>
  </w:style>
  <w:style w:type="character" w:customStyle="1" w:styleId="Heading3Char">
    <w:name w:val="Heading 3 Char"/>
    <w:basedOn w:val="DefaultParagraphFont"/>
    <w:link w:val="Heading3"/>
    <w:uiPriority w:val="9"/>
    <w:semiHidden/>
    <w:rsid w:val="00C165DB"/>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C165DB"/>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C165DB"/>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9"/>
    <w:locked/>
    <w:rsid w:val="00B6194D"/>
    <w:rPr>
      <w:rFonts w:ascii="Calibri" w:hAnsi="Calibri" w:cs="Calibri"/>
      <w:b/>
      <w:bCs/>
      <w:sz w:val="22"/>
      <w:szCs w:val="22"/>
    </w:rPr>
  </w:style>
  <w:style w:type="character" w:customStyle="1" w:styleId="Heading7Char">
    <w:name w:val="Heading 7 Char"/>
    <w:basedOn w:val="DefaultParagraphFont"/>
    <w:link w:val="Heading7"/>
    <w:uiPriority w:val="9"/>
    <w:semiHidden/>
    <w:rsid w:val="00C165DB"/>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C165DB"/>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9"/>
    <w:locked/>
    <w:rsid w:val="00B6194D"/>
    <w:rPr>
      <w:rFonts w:ascii="Cambria" w:hAnsi="Cambria" w:cs="Cambria"/>
      <w:sz w:val="22"/>
      <w:szCs w:val="22"/>
    </w:rPr>
  </w:style>
  <w:style w:type="paragraph" w:styleId="ListParagraph">
    <w:name w:val="List Paragraph"/>
    <w:basedOn w:val="Normal"/>
    <w:uiPriority w:val="99"/>
    <w:qFormat/>
    <w:rsid w:val="00C5288B"/>
    <w:pPr>
      <w:ind w:left="720"/>
    </w:pPr>
  </w:style>
  <w:style w:type="paragraph" w:styleId="Header">
    <w:name w:val="header"/>
    <w:basedOn w:val="Normal"/>
    <w:link w:val="HeaderChar"/>
    <w:uiPriority w:val="99"/>
    <w:rsid w:val="003F4592"/>
    <w:pPr>
      <w:tabs>
        <w:tab w:val="right" w:pos="9639"/>
      </w:tabs>
    </w:pPr>
    <w:rPr>
      <w:rFonts w:ascii="Arial" w:hAnsi="Arial" w:cs="Arial"/>
      <w:sz w:val="16"/>
      <w:szCs w:val="16"/>
    </w:rPr>
  </w:style>
  <w:style w:type="character" w:customStyle="1" w:styleId="HeaderChar">
    <w:name w:val="Header Char"/>
    <w:basedOn w:val="DefaultParagraphFont"/>
    <w:link w:val="Header"/>
    <w:uiPriority w:val="99"/>
    <w:locked/>
    <w:rsid w:val="003F4592"/>
    <w:rPr>
      <w:rFonts w:ascii="Arial" w:hAnsi="Arial" w:cs="Arial"/>
      <w:sz w:val="16"/>
      <w:szCs w:val="16"/>
    </w:rPr>
  </w:style>
  <w:style w:type="paragraph" w:styleId="Footer">
    <w:name w:val="footer"/>
    <w:basedOn w:val="Normal"/>
    <w:link w:val="FooterChar"/>
    <w:uiPriority w:val="99"/>
    <w:rsid w:val="00DA6BDA"/>
    <w:pPr>
      <w:tabs>
        <w:tab w:val="center" w:pos="4320"/>
        <w:tab w:val="right" w:pos="8640"/>
      </w:tabs>
    </w:pPr>
    <w:rPr>
      <w:rFonts w:ascii="Arial" w:hAnsi="Arial" w:cs="Arial"/>
    </w:rPr>
  </w:style>
  <w:style w:type="character" w:customStyle="1" w:styleId="FooterChar">
    <w:name w:val="Footer Char"/>
    <w:basedOn w:val="DefaultParagraphFont"/>
    <w:link w:val="Footer"/>
    <w:uiPriority w:val="99"/>
    <w:semiHidden/>
    <w:rsid w:val="00C165DB"/>
    <w:rPr>
      <w:sz w:val="20"/>
      <w:szCs w:val="20"/>
    </w:rPr>
  </w:style>
  <w:style w:type="character" w:styleId="PageNumber">
    <w:name w:val="page number"/>
    <w:basedOn w:val="DefaultParagraphFont"/>
    <w:uiPriority w:val="99"/>
    <w:rsid w:val="00FE1BBF"/>
  </w:style>
  <w:style w:type="paragraph" w:styleId="Caption">
    <w:name w:val="caption"/>
    <w:basedOn w:val="Normal"/>
    <w:next w:val="Normal"/>
    <w:uiPriority w:val="99"/>
    <w:qFormat/>
    <w:rsid w:val="00133F6B"/>
    <w:pPr>
      <w:jc w:val="center"/>
    </w:pPr>
    <w:rPr>
      <w:i/>
      <w:iCs/>
      <w:sz w:val="18"/>
      <w:szCs w:val="18"/>
    </w:rPr>
  </w:style>
  <w:style w:type="paragraph" w:customStyle="1" w:styleId="01TiubiboVietnam">
    <w:name w:val="@01 Tiêu đề bài báo (Vietnam)"/>
    <w:basedOn w:val="Normal"/>
    <w:next w:val="Normal"/>
    <w:uiPriority w:val="99"/>
    <w:rsid w:val="006928B5"/>
    <w:pPr>
      <w:spacing w:before="240" w:after="120"/>
      <w:jc w:val="center"/>
    </w:pPr>
    <w:rPr>
      <w:b/>
      <w:bCs/>
      <w:caps/>
      <w:sz w:val="26"/>
      <w:szCs w:val="26"/>
    </w:rPr>
  </w:style>
  <w:style w:type="paragraph" w:customStyle="1" w:styleId="02TiubiboEnglish">
    <w:name w:val="@02 Tiêu đề bài báo (English)"/>
    <w:basedOn w:val="Normal"/>
    <w:next w:val="Normal"/>
    <w:uiPriority w:val="99"/>
    <w:rsid w:val="006928B5"/>
    <w:pPr>
      <w:spacing w:before="120" w:after="240"/>
      <w:jc w:val="center"/>
    </w:pPr>
    <w:rPr>
      <w:caps/>
      <w:sz w:val="24"/>
      <w:szCs w:val="24"/>
    </w:rPr>
  </w:style>
  <w:style w:type="paragraph" w:customStyle="1" w:styleId="03Tntcgibibo">
    <w:name w:val="@03 Tên tác giả bài báo"/>
    <w:basedOn w:val="Normal"/>
    <w:next w:val="04nvcngtccatcgi"/>
    <w:uiPriority w:val="99"/>
    <w:rsid w:val="006928B5"/>
    <w:pPr>
      <w:jc w:val="center"/>
    </w:pPr>
    <w:rPr>
      <w:b/>
      <w:bCs/>
      <w:i/>
      <w:iCs/>
    </w:rPr>
  </w:style>
  <w:style w:type="paragraph" w:customStyle="1" w:styleId="04nvcngtccatcgi">
    <w:name w:val="@04 Đơn vị công tác của tác giả"/>
    <w:basedOn w:val="Normal"/>
    <w:next w:val="Normal"/>
    <w:uiPriority w:val="99"/>
    <w:rsid w:val="002D26E5"/>
    <w:pPr>
      <w:spacing w:before="0" w:after="0"/>
      <w:jc w:val="center"/>
    </w:pPr>
    <w:rPr>
      <w:i/>
      <w:iCs/>
    </w:rPr>
  </w:style>
  <w:style w:type="paragraph" w:customStyle="1" w:styleId="05Tmtt-Abstract">
    <w:name w:val="@05 Tóm tắt - Abstract"/>
    <w:basedOn w:val="Normal"/>
    <w:next w:val="Normal"/>
    <w:link w:val="05Tmtt-AbstractChar"/>
    <w:uiPriority w:val="99"/>
    <w:rsid w:val="00E14AE4"/>
    <w:pPr>
      <w:tabs>
        <w:tab w:val="left" w:pos="284"/>
      </w:tabs>
    </w:pPr>
    <w:rPr>
      <w:rFonts w:ascii="Arial" w:hAnsi="Arial" w:cs="Arial"/>
      <w:sz w:val="16"/>
      <w:szCs w:val="16"/>
    </w:rPr>
  </w:style>
  <w:style w:type="paragraph" w:customStyle="1" w:styleId="11TiliuthamkhoTiu">
    <w:name w:val="@11 Tài liệu tham khảo (Tiêu đề)"/>
    <w:basedOn w:val="Normal"/>
    <w:next w:val="Normal"/>
    <w:uiPriority w:val="99"/>
    <w:rsid w:val="0011467B"/>
    <w:pPr>
      <w:jc w:val="center"/>
    </w:pPr>
    <w:rPr>
      <w:b/>
      <w:bCs/>
    </w:rPr>
  </w:style>
  <w:style w:type="table" w:styleId="TableGrid">
    <w:name w:val="Table Grid"/>
    <w:basedOn w:val="TableNormal"/>
    <w:uiPriority w:val="99"/>
    <w:rsid w:val="00587D8F"/>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paragraph" w:customStyle="1" w:styleId="10TiliuthamkhoNidung">
    <w:name w:val="@10 Tài liệu tham khảo (Nội dung)"/>
    <w:basedOn w:val="Normal"/>
    <w:next w:val="Normal"/>
    <w:uiPriority w:val="99"/>
    <w:rsid w:val="0011467B"/>
    <w:pPr>
      <w:numPr>
        <w:ilvl w:val="8"/>
        <w:numId w:val="1"/>
      </w:numPr>
      <w:spacing w:before="0" w:after="0"/>
      <w:ind w:left="284" w:hanging="284"/>
      <w:outlineLvl w:val="1"/>
    </w:pPr>
    <w:rPr>
      <w:sz w:val="16"/>
      <w:szCs w:val="16"/>
    </w:rPr>
  </w:style>
  <w:style w:type="paragraph" w:styleId="Title">
    <w:name w:val="Title"/>
    <w:basedOn w:val="Normal"/>
    <w:link w:val="TitleChar"/>
    <w:uiPriority w:val="99"/>
    <w:qFormat/>
    <w:rsid w:val="00F01454"/>
    <w:pPr>
      <w:jc w:val="center"/>
    </w:pPr>
    <w:rPr>
      <w:b/>
      <w:bCs/>
      <w:sz w:val="28"/>
      <w:szCs w:val="28"/>
    </w:rPr>
  </w:style>
  <w:style w:type="character" w:customStyle="1" w:styleId="TitleChar">
    <w:name w:val="Title Char"/>
    <w:basedOn w:val="DefaultParagraphFont"/>
    <w:link w:val="Title"/>
    <w:uiPriority w:val="99"/>
    <w:locked/>
    <w:rsid w:val="00F01454"/>
    <w:rPr>
      <w:b/>
      <w:bCs/>
      <w:sz w:val="28"/>
      <w:szCs w:val="28"/>
    </w:rPr>
  </w:style>
  <w:style w:type="character" w:customStyle="1" w:styleId="05Tmtt-AbstractChar">
    <w:name w:val="@05 Tóm tắt - Abstract Char"/>
    <w:link w:val="05Tmtt-Abstract"/>
    <w:uiPriority w:val="99"/>
    <w:locked/>
    <w:rsid w:val="00E14AE4"/>
    <w:rPr>
      <w:rFonts w:ascii="Arial" w:hAnsi="Arial" w:cs="Arial"/>
      <w:sz w:val="28"/>
      <w:szCs w:val="28"/>
    </w:rPr>
  </w:style>
  <w:style w:type="paragraph" w:styleId="BalloonText">
    <w:name w:val="Balloon Text"/>
    <w:basedOn w:val="Normal"/>
    <w:link w:val="BalloonTextChar"/>
    <w:uiPriority w:val="99"/>
    <w:semiHidden/>
    <w:rsid w:val="00BA4605"/>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locked/>
    <w:rsid w:val="00BA4605"/>
    <w:rPr>
      <w:rFonts w:ascii="Segoe UI" w:hAnsi="Segoe UI" w:cs="Segoe UI"/>
      <w:sz w:val="18"/>
      <w:szCs w:val="18"/>
      <w:lang w:eastAsia="en-US"/>
    </w:rPr>
  </w:style>
  <w:style w:type="paragraph" w:customStyle="1" w:styleId="Heading1I">
    <w:name w:val="Heading 1 I."/>
    <w:basedOn w:val="Heading1"/>
    <w:next w:val="Normal"/>
    <w:uiPriority w:val="99"/>
    <w:rsid w:val="007E1738"/>
    <w:pPr>
      <w:keepNext/>
      <w:widowControl/>
      <w:numPr>
        <w:numId w:val="0"/>
      </w:numPr>
      <w:spacing w:before="240"/>
      <w:jc w:val="left"/>
    </w:pPr>
    <w:rPr>
      <w:rFonts w:eastAsia="SimSun"/>
      <w:kern w:val="32"/>
      <w:sz w:val="24"/>
      <w:szCs w:val="24"/>
      <w:lang w:eastAsia="zh-CN"/>
    </w:rPr>
  </w:style>
  <w:style w:type="paragraph" w:customStyle="1" w:styleId="StyleStyle12ptCharLinespacing15lines">
    <w:name w:val="Style Style 12 pt Char + Line spacing:  1.5 lines"/>
    <w:basedOn w:val="Normal"/>
    <w:uiPriority w:val="99"/>
    <w:rsid w:val="007E1738"/>
    <w:pPr>
      <w:widowControl/>
      <w:spacing w:before="0" w:after="0" w:line="312" w:lineRule="auto"/>
      <w:ind w:firstLine="289"/>
    </w:pPr>
    <w:rPr>
      <w:rFonts w:eastAsia="SimSun"/>
      <w:sz w:val="24"/>
      <w:szCs w:val="24"/>
      <w:lang w:eastAsia="zh-CN"/>
    </w:rPr>
  </w:style>
  <w:style w:type="paragraph" w:styleId="FootnoteText">
    <w:name w:val="footnote text"/>
    <w:basedOn w:val="Normal"/>
    <w:link w:val="FootnoteTextChar"/>
    <w:uiPriority w:val="99"/>
    <w:semiHidden/>
    <w:rsid w:val="00EF4DB1"/>
    <w:pPr>
      <w:spacing w:before="0" w:after="0"/>
    </w:pPr>
  </w:style>
  <w:style w:type="character" w:customStyle="1" w:styleId="FootnoteTextChar">
    <w:name w:val="Footnote Text Char"/>
    <w:basedOn w:val="DefaultParagraphFont"/>
    <w:link w:val="FootnoteText"/>
    <w:uiPriority w:val="99"/>
    <w:locked/>
    <w:rsid w:val="00EF4DB1"/>
    <w:rPr>
      <w:lang w:eastAsia="en-US"/>
    </w:rPr>
  </w:style>
  <w:style w:type="character" w:styleId="FootnoteReference">
    <w:name w:val="footnote reference"/>
    <w:basedOn w:val="DefaultParagraphFont"/>
    <w:uiPriority w:val="99"/>
    <w:semiHidden/>
    <w:rsid w:val="00EF4DB1"/>
    <w:rPr>
      <w:vertAlign w:val="superscript"/>
    </w:rPr>
  </w:style>
  <w:style w:type="paragraph" w:customStyle="1" w:styleId="Reference">
    <w:name w:val="Reference"/>
    <w:basedOn w:val="Normal"/>
    <w:uiPriority w:val="99"/>
    <w:rsid w:val="006F6CE9"/>
    <w:pPr>
      <w:widowControl/>
      <w:autoSpaceDE w:val="0"/>
      <w:autoSpaceDN w:val="0"/>
      <w:adjustRightInd w:val="0"/>
      <w:spacing w:before="0" w:after="0"/>
      <w:ind w:left="720" w:hanging="720"/>
    </w:pPr>
    <w:rPr>
      <w:rFonts w:eastAsia="SimSun"/>
      <w:sz w:val="24"/>
      <w:szCs w:val="24"/>
      <w:lang w:eastAsia="zh-CN"/>
    </w:rPr>
  </w:style>
  <w:style w:type="character" w:styleId="CommentReference">
    <w:name w:val="annotation reference"/>
    <w:basedOn w:val="DefaultParagraphFont"/>
    <w:uiPriority w:val="99"/>
    <w:semiHidden/>
    <w:unhideWhenUsed/>
    <w:rsid w:val="0093427A"/>
    <w:rPr>
      <w:sz w:val="16"/>
      <w:szCs w:val="16"/>
    </w:rPr>
  </w:style>
  <w:style w:type="paragraph" w:styleId="CommentText">
    <w:name w:val="annotation text"/>
    <w:basedOn w:val="Normal"/>
    <w:link w:val="CommentTextChar"/>
    <w:uiPriority w:val="99"/>
    <w:semiHidden/>
    <w:unhideWhenUsed/>
    <w:rsid w:val="0093427A"/>
  </w:style>
  <w:style w:type="character" w:customStyle="1" w:styleId="CommentTextChar">
    <w:name w:val="Comment Text Char"/>
    <w:basedOn w:val="DefaultParagraphFont"/>
    <w:link w:val="CommentText"/>
    <w:uiPriority w:val="99"/>
    <w:semiHidden/>
    <w:rsid w:val="0093427A"/>
    <w:rPr>
      <w:sz w:val="20"/>
      <w:szCs w:val="20"/>
    </w:rPr>
  </w:style>
  <w:style w:type="paragraph" w:styleId="CommentSubject">
    <w:name w:val="annotation subject"/>
    <w:basedOn w:val="CommentText"/>
    <w:next w:val="CommentText"/>
    <w:link w:val="CommentSubjectChar"/>
    <w:uiPriority w:val="99"/>
    <w:semiHidden/>
    <w:unhideWhenUsed/>
    <w:rsid w:val="0093427A"/>
    <w:rPr>
      <w:b/>
      <w:bCs/>
    </w:rPr>
  </w:style>
  <w:style w:type="character" w:customStyle="1" w:styleId="CommentSubjectChar">
    <w:name w:val="Comment Subject Char"/>
    <w:basedOn w:val="CommentTextChar"/>
    <w:link w:val="CommentSubject"/>
    <w:uiPriority w:val="99"/>
    <w:semiHidden/>
    <w:rsid w:val="0093427A"/>
    <w:rPr>
      <w:b/>
      <w:bCs/>
      <w:sz w:val="20"/>
      <w:szCs w:val="20"/>
    </w:rPr>
  </w:style>
  <w:style w:type="character" w:styleId="Emphasis">
    <w:name w:val="Emphasis"/>
    <w:basedOn w:val="DefaultParagraphFont"/>
    <w:qFormat/>
    <w:locked/>
    <w:rsid w:val="00A52DE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image" Target="media/image5.wmf"/><Relationship Id="rId26" Type="http://schemas.openxmlformats.org/officeDocument/2006/relationships/image" Target="media/image9.wmf"/><Relationship Id="rId39" Type="http://schemas.openxmlformats.org/officeDocument/2006/relationships/oleObject" Target="embeddings/oleObject14.bin"/><Relationship Id="rId21" Type="http://schemas.openxmlformats.org/officeDocument/2006/relationships/oleObject" Target="embeddings/oleObject5.bin"/><Relationship Id="rId34" Type="http://schemas.openxmlformats.org/officeDocument/2006/relationships/image" Target="media/image13.wmf"/><Relationship Id="rId42" Type="http://schemas.openxmlformats.org/officeDocument/2006/relationships/image" Target="media/image17.wmf"/><Relationship Id="rId47" Type="http://schemas.openxmlformats.org/officeDocument/2006/relationships/image" Target="media/image19.wmf"/><Relationship Id="rId50" Type="http://schemas.openxmlformats.org/officeDocument/2006/relationships/oleObject" Target="embeddings/oleObject20.bin"/><Relationship Id="rId55" Type="http://schemas.openxmlformats.org/officeDocument/2006/relationships/image" Target="media/image23.wmf"/><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image" Target="media/image4.wmf"/><Relationship Id="rId20" Type="http://schemas.openxmlformats.org/officeDocument/2006/relationships/image" Target="media/image6.wmf"/><Relationship Id="rId29" Type="http://schemas.openxmlformats.org/officeDocument/2006/relationships/oleObject" Target="embeddings/oleObject9.bin"/><Relationship Id="rId41" Type="http://schemas.openxmlformats.org/officeDocument/2006/relationships/oleObject" Target="embeddings/oleObject15.bin"/><Relationship Id="rId54" Type="http://schemas.openxmlformats.org/officeDocument/2006/relationships/oleObject" Target="embeddings/oleObject22.bin"/><Relationship Id="rId62" Type="http://schemas.microsoft.com/office/2011/relationships/commentsExtended" Target="commentsExtended.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wmf"/><Relationship Id="rId24" Type="http://schemas.openxmlformats.org/officeDocument/2006/relationships/image" Target="media/image8.wmf"/><Relationship Id="rId32" Type="http://schemas.openxmlformats.org/officeDocument/2006/relationships/image" Target="media/image12.wmf"/><Relationship Id="rId37" Type="http://schemas.openxmlformats.org/officeDocument/2006/relationships/oleObject" Target="embeddings/oleObject13.bin"/><Relationship Id="rId40" Type="http://schemas.openxmlformats.org/officeDocument/2006/relationships/image" Target="media/image16.wmf"/><Relationship Id="rId45" Type="http://schemas.openxmlformats.org/officeDocument/2006/relationships/image" Target="media/image18.wmf"/><Relationship Id="rId53" Type="http://schemas.openxmlformats.org/officeDocument/2006/relationships/image" Target="media/image22.wmf"/><Relationship Id="rId58" Type="http://schemas.openxmlformats.org/officeDocument/2006/relationships/oleObject" Target="embeddings/oleObject24.bin"/><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oleObject" Target="embeddings/oleObject6.bin"/><Relationship Id="rId28" Type="http://schemas.openxmlformats.org/officeDocument/2006/relationships/image" Target="media/image10.wmf"/><Relationship Id="rId36" Type="http://schemas.openxmlformats.org/officeDocument/2006/relationships/image" Target="media/image14.wmf"/><Relationship Id="rId49" Type="http://schemas.openxmlformats.org/officeDocument/2006/relationships/image" Target="media/image20.wmf"/><Relationship Id="rId57" Type="http://schemas.openxmlformats.org/officeDocument/2006/relationships/image" Target="media/image24.wmf"/><Relationship Id="rId10" Type="http://schemas.openxmlformats.org/officeDocument/2006/relationships/footer" Target="footer1.xml"/><Relationship Id="rId19" Type="http://schemas.openxmlformats.org/officeDocument/2006/relationships/oleObject" Target="embeddings/oleObject4.bin"/><Relationship Id="rId31" Type="http://schemas.openxmlformats.org/officeDocument/2006/relationships/oleObject" Target="embeddings/oleObject10.bin"/><Relationship Id="rId44" Type="http://schemas.openxmlformats.org/officeDocument/2006/relationships/oleObject" Target="embeddings/oleObject17.bin"/><Relationship Id="rId52" Type="http://schemas.openxmlformats.org/officeDocument/2006/relationships/oleObject" Target="embeddings/oleObject21.bin"/><Relationship Id="rId6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3.wmf"/><Relationship Id="rId22" Type="http://schemas.openxmlformats.org/officeDocument/2006/relationships/image" Target="media/image7.wmf"/><Relationship Id="rId27" Type="http://schemas.openxmlformats.org/officeDocument/2006/relationships/oleObject" Target="embeddings/oleObject8.bin"/><Relationship Id="rId30" Type="http://schemas.openxmlformats.org/officeDocument/2006/relationships/image" Target="media/image11.wmf"/><Relationship Id="rId35" Type="http://schemas.openxmlformats.org/officeDocument/2006/relationships/oleObject" Target="embeddings/oleObject12.bin"/><Relationship Id="rId43" Type="http://schemas.openxmlformats.org/officeDocument/2006/relationships/oleObject" Target="embeddings/oleObject16.bin"/><Relationship Id="rId48" Type="http://schemas.openxmlformats.org/officeDocument/2006/relationships/oleObject" Target="embeddings/oleObject19.bin"/><Relationship Id="rId56" Type="http://schemas.openxmlformats.org/officeDocument/2006/relationships/oleObject" Target="embeddings/oleObject23.bin"/><Relationship Id="rId8" Type="http://schemas.openxmlformats.org/officeDocument/2006/relationships/header" Target="header1.xml"/><Relationship Id="rId51" Type="http://schemas.openxmlformats.org/officeDocument/2006/relationships/image" Target="media/image21.wmf"/><Relationship Id="rId3" Type="http://schemas.microsoft.com/office/2007/relationships/stylesWithEffects" Target="stylesWithEffects.xml"/><Relationship Id="rId12" Type="http://schemas.openxmlformats.org/officeDocument/2006/relationships/oleObject" Target="embeddings/oleObject1.bin"/><Relationship Id="rId17" Type="http://schemas.openxmlformats.org/officeDocument/2006/relationships/oleObject" Target="embeddings/oleObject3.bin"/><Relationship Id="rId25" Type="http://schemas.openxmlformats.org/officeDocument/2006/relationships/oleObject" Target="embeddings/oleObject7.bin"/><Relationship Id="rId33" Type="http://schemas.openxmlformats.org/officeDocument/2006/relationships/oleObject" Target="embeddings/oleObject11.bin"/><Relationship Id="rId38" Type="http://schemas.openxmlformats.org/officeDocument/2006/relationships/image" Target="media/image15.wmf"/><Relationship Id="rId46" Type="http://schemas.openxmlformats.org/officeDocument/2006/relationships/oleObject" Target="embeddings/oleObject18.bin"/><Relationship Id="rId5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6973</Words>
  <Characters>24060</Characters>
  <Application>Microsoft Office Word</Application>
  <DocSecurity>0</DocSecurity>
  <Lines>1093</Lines>
  <Paragraphs>721</Paragraphs>
  <ScaleCrop>false</ScaleCrop>
  <HeadingPairs>
    <vt:vector size="2" baseType="variant">
      <vt:variant>
        <vt:lpstr>Title</vt:lpstr>
      </vt:variant>
      <vt:variant>
        <vt:i4>1</vt:i4>
      </vt:variant>
    </vt:vector>
  </HeadingPairs>
  <TitlesOfParts>
    <vt:vector size="1" baseType="lpstr">
      <vt:lpstr>THIẾT LẬP MÔ HÌNH ĐỊNH GIÁ DOANH NGHIỆP</vt:lpstr>
    </vt:vector>
  </TitlesOfParts>
  <LinksUpToDate>false</LinksUpToDate>
  <CharactersWithSpaces>30312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THIẾT LẬP MÔ HÌNH ĐỊNH GIÁ DOANH NGHIỆP</dc:title>
  <dc:creator/>
  <cp:lastModifiedBy/>
  <cp:revision>1</cp:revision>
  <dcterms:created xsi:type="dcterms:W3CDTF">2016-04-17T12:58:00Z</dcterms:created>
  <dcterms:modified xsi:type="dcterms:W3CDTF">2016-04-22T14:28:00Z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(#C1.#E1)</vt:lpwstr>
  </property>
</Properties>
</file>